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D0" w:rsidRDefault="001800B4">
      <w:pPr>
        <w:shd w:val="clear" w:color="auto" w:fill="D6E3BC" w:themeFill="accent3" w:themeFillTint="66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b/>
          <w:bCs/>
          <w:sz w:val="32"/>
          <w:szCs w:val="32"/>
        </w:rPr>
        <w:t>Planning and evaluation outline – Pupil Premium 2015/16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8"/>
        <w:gridCol w:w="3260"/>
        <w:gridCol w:w="2977"/>
        <w:gridCol w:w="1984"/>
        <w:gridCol w:w="4394"/>
      </w:tblGrid>
      <w:tr w:rsidR="00FA414A" w:rsidTr="00FA414A">
        <w:trPr>
          <w:trHeight w:val="1907"/>
        </w:trPr>
        <w:tc>
          <w:tcPr>
            <w:tcW w:w="1526" w:type="dxa"/>
            <w:shd w:val="clear" w:color="auto" w:fill="D6E3BC" w:themeFill="accent3" w:themeFillTint="66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used for: 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Is this a new or continued activity/cost centre? 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Brief summary of the intervention or action, including details of year groups and pupils involved, and the timescale 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Specific intended outcomes: how will this intervention or action improve achievement for pupils eligible for the Pupil Premium? What will it achieve if successful?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How will this activity be monitored, when and by whom? How will success be evidenced? </w:t>
            </w:r>
          </w:p>
        </w:tc>
        <w:tc>
          <w:tcPr>
            <w:tcW w:w="4394" w:type="dxa"/>
            <w:shd w:val="clear" w:color="auto" w:fill="D6E3BC" w:themeFill="accent3" w:themeFillTint="66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Actual impact: What did the action or activity actually achieve? Be specific: ‘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As a result of this action…’ </w:t>
            </w: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If you plan to repeat this activity, what would you change to improve it next time? </w:t>
            </w:r>
          </w:p>
        </w:tc>
      </w:tr>
      <w:tr w:rsidR="00FA414A" w:rsidTr="00FA414A">
        <w:trPr>
          <w:trHeight w:val="91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Some success in that creation of the Arc has allowed the school to operate smoothly. 2 year 6 Arc pupils have transferred successfully to mainstream high schools and attained the expected level in reading writing and maths. 3 pupils from y5 2015/16 are currently attending full time and it is unlikely that they will be reintegrated. The provision will continue in the 2016/17 academic year.</w:t>
            </w:r>
          </w:p>
        </w:tc>
      </w:tr>
      <w:tr w:rsidR="00FA414A" w:rsidTr="00FA414A">
        <w:trPr>
          <w:trHeight w:val="221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Ark assistant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Employment of a teaching assistant to support the specialist teacher to teach pupils identified as at risk of permanent exclusion due to severe emotional and behavioural difficulties</w:t>
            </w: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Pupils are reintegrated into their class, are able to function within the normal classroom environment and are ready to transition to high school as successful, mainstream pupils.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HT, SLT, Pastoral team and Governors through HT report at governing body meetings.</w:t>
            </w:r>
          </w:p>
        </w:tc>
        <w:tc>
          <w:tcPr>
            <w:tcW w:w="4394" w:type="dxa"/>
            <w:vMerge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A414A" w:rsidTr="00FA414A">
        <w:trPr>
          <w:trHeight w:val="2319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Pupil Welfare Officer post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Continued (role was introduced using PPG for 2012)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Continued employment of the pupil welfare officer to support attendance, parental involvement, child protection and attendance</w:t>
            </w: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To reduce the number of pupils missing significant time in school and to raise attainment through better attendance</w:t>
            </w:r>
          </w:p>
          <w:p w:rsidR="00FA414A" w:rsidRPr="00FA414A" w:rsidRDefault="00FA414A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To support pupils experiencing difficulties (e.g. bereavement, Domestic Violence, Poor parenting) so that they make good or better progress.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 and Governors through HT report at governing body meetings.</w:t>
            </w:r>
          </w:p>
        </w:tc>
        <w:tc>
          <w:tcPr>
            <w:tcW w:w="439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Reorganisation took place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mid year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. It was considered that this role was no longer necessary as the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sSENCO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is now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non teaching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was able to carry out the key duties more effectively. </w:t>
            </w:r>
          </w:p>
        </w:tc>
      </w:tr>
      <w:tr w:rsidR="00FA414A" w:rsidTr="00FA414A">
        <w:trPr>
          <w:trHeight w:val="221"/>
        </w:trPr>
        <w:tc>
          <w:tcPr>
            <w:tcW w:w="1526" w:type="dxa"/>
          </w:tcPr>
          <w:p w:rsidR="00FA414A" w:rsidRDefault="00FA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room leader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To run nurture provision for pupils identified as having emotional/behavioural needs through use of Boxall profiling’.</w:t>
            </w: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provide the children with a safe, small group, nurturing environment in order to ensure that barriers to learning are removed and pupils make good or better progress.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Pupil Welfare officer</w:t>
            </w:r>
          </w:p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Reports to HT and Governing body</w:t>
            </w:r>
          </w:p>
        </w:tc>
        <w:tc>
          <w:tcPr>
            <w:tcW w:w="4394" w:type="dxa"/>
            <w:vMerge w:val="restart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Pupils have made expected progress. Where this has not been the case, the provision has been able to identify specific learning needs and refer pupils to the SENCO</w:t>
            </w:r>
          </w:p>
        </w:tc>
      </w:tr>
      <w:tr w:rsidR="00FA414A" w:rsidTr="00FA414A">
        <w:trPr>
          <w:trHeight w:val="221"/>
        </w:trPr>
        <w:tc>
          <w:tcPr>
            <w:tcW w:w="1526" w:type="dxa"/>
          </w:tcPr>
          <w:p w:rsidR="00FA414A" w:rsidRDefault="00FA4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Nurture room Assistant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and work </w:t>
            </w:r>
            <w:proofErr w:type="spellStart"/>
            <w:r>
              <w:rPr>
                <w:sz w:val="20"/>
                <w:szCs w:val="20"/>
              </w:rPr>
              <w:t>along  side</w:t>
            </w:r>
            <w:proofErr w:type="spellEnd"/>
            <w:r>
              <w:rPr>
                <w:sz w:val="20"/>
                <w:szCs w:val="20"/>
              </w:rPr>
              <w:t xml:space="preserve"> the nurture room leader</w:t>
            </w: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support the nurture room leader To provide the children with a safe, small group, nurturing environment in order to ensure that barriers to learning </w:t>
            </w:r>
            <w:r>
              <w:rPr>
                <w:sz w:val="20"/>
                <w:szCs w:val="20"/>
              </w:rPr>
              <w:lastRenderedPageBreak/>
              <w:t>are removed and pupils make good or better progress.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Monitored by Pupil Welfare officer</w:t>
            </w:r>
          </w:p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Reports to HT and Governing body</w:t>
            </w:r>
          </w:p>
        </w:tc>
        <w:tc>
          <w:tcPr>
            <w:tcW w:w="4394" w:type="dxa"/>
            <w:vMerge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A414A" w:rsidTr="00FA414A">
        <w:trPr>
          <w:trHeight w:val="221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Contribution towards Employment of a child therapist for 1 day a week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Mental health services and CAHMS were slow to respond to pupil need. We have a significant minority of pupils who have experienced personal trauma and this was presenting barriers to their ongoing happiness, sense of safety and ability to learn within a class room environment. The child therapist works with 4 pupils for 1 to 1 hour sessions through a teacher referral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system  but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also works with pupils who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self refer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for ‘talk time’ over lunchtime.</w:t>
            </w: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ensure that barriers to learning caused by emotional difficulties are met and pupils make good or better progress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 and annual report to the governing body.</w:t>
            </w:r>
          </w:p>
        </w:tc>
        <w:tc>
          <w:tcPr>
            <w:tcW w:w="439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This has had a positive impact on the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pupils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impacted (detailed report available.)</w:t>
            </w:r>
          </w:p>
        </w:tc>
      </w:tr>
      <w:tr w:rsidR="00FA414A" w:rsidTr="00FA414A">
        <w:trPr>
          <w:trHeight w:val="221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Employment of a language development worker to provide early intervention in the EYFS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Language development worker to support pupils raising concern around their communication and language development in nursery and reception.</w:t>
            </w:r>
          </w:p>
        </w:tc>
        <w:tc>
          <w:tcPr>
            <w:tcW w:w="2977" w:type="dxa"/>
          </w:tcPr>
          <w:p w:rsidR="00FA414A" w:rsidRDefault="00FA414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ensure early intervention to accelerate progress in language development for pupils in the EYFS</w:t>
            </w:r>
          </w:p>
          <w:p w:rsidR="00FA414A" w:rsidRDefault="00FA414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ensure that pupils are identified and intervention put in place as soon after entry to nursery and reception as possible</w:t>
            </w:r>
          </w:p>
          <w:p w:rsidR="00FA414A" w:rsidRDefault="00FA414A">
            <w:pPr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 raise attainment particularly in phonics and writing.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 and annual report to the governing body.</w:t>
            </w:r>
          </w:p>
        </w:tc>
        <w:tc>
          <w:tcPr>
            <w:tcW w:w="439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This has had a positive impact in terms of early intervention for pupils experiencing difficulties and will continue in 2016/17</w:t>
            </w:r>
          </w:p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GLD was above national averages in 2015/16</w:t>
            </w:r>
          </w:p>
        </w:tc>
      </w:tr>
      <w:tr w:rsidR="00FA414A" w:rsidTr="00FA414A">
        <w:trPr>
          <w:trHeight w:val="221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Support from Pivot Care in developing pastoral provision and links with other agencies.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Continued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External consultancy working with the school to ensure strong systems for safeguarding, pastoral care and behaviour management. To ensure effective deployment of support staff. </w:t>
            </w:r>
          </w:p>
        </w:tc>
        <w:tc>
          <w:tcPr>
            <w:tcW w:w="2977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Strong systems result in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pupil learning behaviour and staff high expectations having a positive impact on learning.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Monitored by HT and reports to the governing body</w:t>
            </w:r>
          </w:p>
        </w:tc>
        <w:tc>
          <w:tcPr>
            <w:tcW w:w="439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This support has allowed the school to develop robust systems to support </w:t>
            </w: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pupils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wellbeing and has helped to structure staffing efficiently. Pupil wellbeing and safety was graded a 2a in our recent BPIP review.</w:t>
            </w:r>
          </w:p>
        </w:tc>
      </w:tr>
      <w:tr w:rsidR="00FA414A" w:rsidTr="00FA414A">
        <w:trPr>
          <w:trHeight w:val="841"/>
        </w:trPr>
        <w:tc>
          <w:tcPr>
            <w:tcW w:w="1526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Pupil premium intervention teaching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assistant</w:t>
            </w:r>
          </w:p>
        </w:tc>
        <w:tc>
          <w:tcPr>
            <w:tcW w:w="1418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continuing</w:t>
            </w:r>
          </w:p>
        </w:tc>
        <w:tc>
          <w:tcPr>
            <w:tcW w:w="3260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Employment of an additional member of support staff to increase capacity in order to be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able to use a member of support staff to deliver teacher planned intervention to pupil premium children in year 5 and 6 who are in danger of not achieving level 4 or not making expected progress in the national tests at the end of key stage 2.</w:t>
            </w:r>
          </w:p>
        </w:tc>
        <w:tc>
          <w:tcPr>
            <w:tcW w:w="2977" w:type="dxa"/>
          </w:tcPr>
          <w:p w:rsidR="00FA414A" w:rsidRDefault="00FA414A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Accelerated attainment and progress for pupil premium </w:t>
            </w: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pupils in year 5 and 6.</w:t>
            </w:r>
          </w:p>
        </w:tc>
        <w:tc>
          <w:tcPr>
            <w:tcW w:w="198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Monitored by HT, governors and class teachers during 6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weekly pupil progress meetings.</w:t>
            </w:r>
          </w:p>
        </w:tc>
        <w:tc>
          <w:tcPr>
            <w:tcW w:w="4394" w:type="dxa"/>
          </w:tcPr>
          <w:p w:rsidR="00FA414A" w:rsidRDefault="00FA4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 xml:space="preserve">This has had positive impact and our pupil premium children performed as well or better than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non pupil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premium children in their SATs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with the exception of Year 6 reading.</w:t>
            </w:r>
          </w:p>
        </w:tc>
      </w:tr>
    </w:tbl>
    <w:p w:rsidR="00BD09F1" w:rsidRDefault="00BD0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75"/>
        <w:gridCol w:w="1875"/>
        <w:gridCol w:w="1875"/>
        <w:gridCol w:w="1875"/>
        <w:gridCol w:w="1875"/>
        <w:gridCol w:w="1875"/>
        <w:gridCol w:w="1875"/>
      </w:tblGrid>
      <w:tr w:rsidR="00B33298" w:rsidTr="00B33298">
        <w:trPr>
          <w:trHeight w:val="280"/>
        </w:trPr>
        <w:tc>
          <w:tcPr>
            <w:tcW w:w="15388" w:type="dxa"/>
            <w:gridSpan w:val="9"/>
            <w:shd w:val="clear" w:color="auto" w:fill="D6E3BC" w:themeFill="accent3" w:themeFillTint="66"/>
          </w:tcPr>
          <w:p w:rsidR="00B33298" w:rsidRDefault="00B33298" w:rsidP="00C062CD">
            <w:pPr>
              <w:jc w:val="center"/>
              <w:rPr>
                <w:b/>
              </w:rPr>
            </w:pPr>
            <w:r>
              <w:rPr>
                <w:b/>
              </w:rPr>
              <w:t>Disadvantaged – All Pupils</w:t>
            </w:r>
          </w:p>
        </w:tc>
      </w:tr>
      <w:tr w:rsidR="00B33298" w:rsidTr="00B33298">
        <w:trPr>
          <w:trHeight w:val="362"/>
        </w:trPr>
        <w:tc>
          <w:tcPr>
            <w:tcW w:w="1129" w:type="dxa"/>
            <w:shd w:val="clear" w:color="auto" w:fill="D6E3BC" w:themeFill="accent3" w:themeFillTint="66"/>
          </w:tcPr>
          <w:p w:rsidR="00B33298" w:rsidRPr="0013576B" w:rsidRDefault="00B33298" w:rsidP="00C062C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B33298" w:rsidRDefault="00B33298" w:rsidP="00C062CD">
            <w:pPr>
              <w:jc w:val="center"/>
            </w:pPr>
          </w:p>
        </w:tc>
        <w:tc>
          <w:tcPr>
            <w:tcW w:w="5625" w:type="dxa"/>
            <w:gridSpan w:val="3"/>
            <w:shd w:val="clear" w:color="auto" w:fill="D6E3BC" w:themeFill="accent3" w:themeFillTint="66"/>
          </w:tcPr>
          <w:p w:rsidR="00B33298" w:rsidRDefault="00B33298" w:rsidP="00C062CD">
            <w:pPr>
              <w:jc w:val="center"/>
            </w:pPr>
            <w:r w:rsidRPr="0063409F">
              <w:rPr>
                <w:b/>
              </w:rPr>
              <w:t>Test Results</w:t>
            </w:r>
          </w:p>
        </w:tc>
        <w:tc>
          <w:tcPr>
            <w:tcW w:w="7500" w:type="dxa"/>
            <w:gridSpan w:val="4"/>
            <w:shd w:val="clear" w:color="auto" w:fill="D6E3BC" w:themeFill="accent3" w:themeFillTint="66"/>
          </w:tcPr>
          <w:p w:rsidR="00B33298" w:rsidRPr="0063409F" w:rsidRDefault="00B33298" w:rsidP="00C062CD">
            <w:pPr>
              <w:jc w:val="center"/>
              <w:rPr>
                <w:b/>
              </w:rPr>
            </w:pPr>
            <w:r w:rsidRPr="0063409F">
              <w:rPr>
                <w:b/>
              </w:rPr>
              <w:t xml:space="preserve">Teacher Assessment </w:t>
            </w:r>
          </w:p>
        </w:tc>
      </w:tr>
      <w:tr w:rsidR="00B33298" w:rsidTr="00C062CD">
        <w:trPr>
          <w:trHeight w:val="362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B33298" w:rsidRPr="0013576B" w:rsidRDefault="00B33298" w:rsidP="00C062CD">
            <w:pPr>
              <w:rPr>
                <w:b/>
              </w:rPr>
            </w:pPr>
            <w:r>
              <w:rPr>
                <w:b/>
              </w:rPr>
              <w:t>KS2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 xml:space="preserve">Cohort Size -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Achieving Expected Standard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Average Raw Score *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Average Scaled Score**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below working below the expected standards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 xml:space="preserve">% of Children </w:t>
            </w:r>
            <w:r w:rsidRPr="003633A8">
              <w:t>Working towards the expected standard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at Expected Standard and Above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Working at greater depth above Expected Standard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Reading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62%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2/15 13%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2/15 13%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12/15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4/15 26%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Writing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Default="00B33298" w:rsidP="00C062CD">
            <w:r w:rsidRPr="00533CC5">
              <w:t>2/15 13%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13/15 86%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3/15 20%</w:t>
            </w:r>
          </w:p>
        </w:tc>
      </w:tr>
      <w:tr w:rsidR="00B33298" w:rsidRPr="0013576B" w:rsidTr="00C062CD">
        <w:trPr>
          <w:trHeight w:val="295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Maths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62%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Default="00B33298" w:rsidP="00C062CD">
            <w:r w:rsidRPr="00533CC5">
              <w:t>2/15 13%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 xml:space="preserve">3/15 20% 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12/15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1/15 6%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GPS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84%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Default="00B33298" w:rsidP="00C062CD">
            <w:r w:rsidRPr="00533CC5">
              <w:t>2/15 13%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11/15 73%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0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Combined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46%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Default="00B33298" w:rsidP="00C062CD">
            <w:r w:rsidRPr="00533CC5">
              <w:t>2/15 13%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0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12/15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0</w:t>
            </w:r>
          </w:p>
        </w:tc>
      </w:tr>
    </w:tbl>
    <w:p w:rsidR="00B33298" w:rsidRDefault="00B33298" w:rsidP="00B33298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134"/>
        <w:gridCol w:w="1875"/>
        <w:gridCol w:w="1875"/>
        <w:gridCol w:w="1875"/>
        <w:gridCol w:w="1875"/>
        <w:gridCol w:w="1875"/>
        <w:gridCol w:w="1875"/>
        <w:gridCol w:w="1875"/>
      </w:tblGrid>
      <w:tr w:rsidR="00B33298" w:rsidTr="00B33298">
        <w:trPr>
          <w:trHeight w:val="280"/>
        </w:trPr>
        <w:tc>
          <w:tcPr>
            <w:tcW w:w="15388" w:type="dxa"/>
            <w:gridSpan w:val="9"/>
            <w:shd w:val="clear" w:color="auto" w:fill="D6E3BC" w:themeFill="accent3" w:themeFillTint="66"/>
          </w:tcPr>
          <w:p w:rsidR="00B33298" w:rsidRDefault="00B33298" w:rsidP="00C062CD">
            <w:pPr>
              <w:jc w:val="center"/>
              <w:rPr>
                <w:b/>
              </w:rPr>
            </w:pPr>
            <w:r>
              <w:rPr>
                <w:b/>
              </w:rPr>
              <w:t xml:space="preserve">Non Disadvantaged </w:t>
            </w:r>
          </w:p>
        </w:tc>
      </w:tr>
      <w:tr w:rsidR="00B33298" w:rsidTr="00B33298">
        <w:trPr>
          <w:trHeight w:val="362"/>
        </w:trPr>
        <w:tc>
          <w:tcPr>
            <w:tcW w:w="1129" w:type="dxa"/>
            <w:shd w:val="clear" w:color="auto" w:fill="D6E3BC" w:themeFill="accent3" w:themeFillTint="66"/>
          </w:tcPr>
          <w:p w:rsidR="00B33298" w:rsidRPr="0013576B" w:rsidRDefault="00B33298" w:rsidP="00C062CD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B33298" w:rsidRDefault="00B33298" w:rsidP="00C062CD">
            <w:pPr>
              <w:jc w:val="center"/>
            </w:pPr>
          </w:p>
        </w:tc>
        <w:tc>
          <w:tcPr>
            <w:tcW w:w="5625" w:type="dxa"/>
            <w:gridSpan w:val="3"/>
            <w:shd w:val="clear" w:color="auto" w:fill="D6E3BC" w:themeFill="accent3" w:themeFillTint="66"/>
          </w:tcPr>
          <w:p w:rsidR="00B33298" w:rsidRDefault="00B33298" w:rsidP="00C062CD">
            <w:pPr>
              <w:jc w:val="center"/>
            </w:pPr>
            <w:r w:rsidRPr="0063409F">
              <w:rPr>
                <w:b/>
              </w:rPr>
              <w:t>Test Results</w:t>
            </w:r>
          </w:p>
        </w:tc>
        <w:tc>
          <w:tcPr>
            <w:tcW w:w="7500" w:type="dxa"/>
            <w:gridSpan w:val="4"/>
            <w:shd w:val="clear" w:color="auto" w:fill="D6E3BC" w:themeFill="accent3" w:themeFillTint="66"/>
          </w:tcPr>
          <w:p w:rsidR="00B33298" w:rsidRPr="0063409F" w:rsidRDefault="00B33298" w:rsidP="00C062CD">
            <w:pPr>
              <w:jc w:val="center"/>
              <w:rPr>
                <w:b/>
              </w:rPr>
            </w:pPr>
            <w:r w:rsidRPr="0063409F">
              <w:rPr>
                <w:b/>
              </w:rPr>
              <w:t xml:space="preserve">Teacher Assessment </w:t>
            </w:r>
          </w:p>
        </w:tc>
      </w:tr>
      <w:tr w:rsidR="00B33298" w:rsidTr="00C062CD">
        <w:trPr>
          <w:trHeight w:val="362"/>
        </w:trPr>
        <w:tc>
          <w:tcPr>
            <w:tcW w:w="1129" w:type="dxa"/>
            <w:vMerge w:val="restart"/>
            <w:shd w:val="clear" w:color="auto" w:fill="D9D9D9" w:themeFill="background1" w:themeFillShade="D9"/>
          </w:tcPr>
          <w:p w:rsidR="00B33298" w:rsidRPr="0013576B" w:rsidRDefault="00B33298" w:rsidP="00C062CD">
            <w:pPr>
              <w:rPr>
                <w:b/>
              </w:rPr>
            </w:pPr>
            <w:r>
              <w:rPr>
                <w:b/>
              </w:rPr>
              <w:t>KS2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 xml:space="preserve">Cohort Size - 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Achieving Expected Standard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Average Raw Score *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Average Scaled Score**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below working below the expected standards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 xml:space="preserve">% of Children </w:t>
            </w:r>
            <w:r w:rsidRPr="003633A8">
              <w:t>Working towards the expected standard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at Expected Standard and Above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Default="00B33298" w:rsidP="00C062CD">
            <w:pPr>
              <w:jc w:val="center"/>
            </w:pPr>
            <w:r>
              <w:t>% of Children Working at greater depth above Expected Standard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Reading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60%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8/10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3/10 30%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Writing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8/10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3/10 30%</w:t>
            </w:r>
          </w:p>
        </w:tc>
      </w:tr>
      <w:tr w:rsidR="00B33298" w:rsidRPr="0013576B" w:rsidTr="00C062CD">
        <w:trPr>
          <w:trHeight w:val="295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Maths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60%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8/10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3/10 30%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GPS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60%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8/10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3/10 30%</w:t>
            </w:r>
          </w:p>
        </w:tc>
      </w:tr>
      <w:tr w:rsidR="00B33298" w:rsidRPr="0013576B" w:rsidTr="00C062CD">
        <w:trPr>
          <w:trHeight w:val="280"/>
        </w:trPr>
        <w:tc>
          <w:tcPr>
            <w:tcW w:w="1129" w:type="dxa"/>
            <w:vMerge/>
            <w:shd w:val="clear" w:color="auto" w:fill="D9D9D9" w:themeFill="background1" w:themeFillShade="D9"/>
          </w:tcPr>
          <w:p w:rsidR="00B33298" w:rsidRDefault="00B33298" w:rsidP="00C062CD"/>
        </w:tc>
        <w:tc>
          <w:tcPr>
            <w:tcW w:w="1134" w:type="dxa"/>
            <w:shd w:val="clear" w:color="auto" w:fill="D9D9D9" w:themeFill="background1" w:themeFillShade="D9"/>
          </w:tcPr>
          <w:p w:rsidR="00B33298" w:rsidRDefault="00B33298" w:rsidP="00C062CD">
            <w:r>
              <w:t>Combined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60%</w:t>
            </w: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  <w:shd w:val="clear" w:color="auto" w:fill="D9D9D9" w:themeFill="background1" w:themeFillShade="D9"/>
          </w:tcPr>
          <w:p w:rsidR="00B33298" w:rsidRPr="0013576B" w:rsidRDefault="00B33298" w:rsidP="00C062CD">
            <w:pPr>
              <w:jc w:val="center"/>
            </w:pP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1/10 10%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8/10 80%</w:t>
            </w:r>
          </w:p>
        </w:tc>
        <w:tc>
          <w:tcPr>
            <w:tcW w:w="1875" w:type="dxa"/>
          </w:tcPr>
          <w:p w:rsidR="00B33298" w:rsidRPr="0013576B" w:rsidRDefault="00B33298" w:rsidP="00C062CD">
            <w:pPr>
              <w:jc w:val="center"/>
            </w:pPr>
            <w:r>
              <w:t>3/10 30%</w:t>
            </w:r>
          </w:p>
        </w:tc>
      </w:tr>
    </w:tbl>
    <w:p w:rsidR="00B33298" w:rsidRDefault="00B33298"/>
    <w:p w:rsidR="00B33298" w:rsidRDefault="00B33298">
      <w:r>
        <w:lastRenderedPageBreak/>
        <w:t xml:space="preserve"> The proportion of disadvantaged children achieving age related is consistently above the proportion of </w:t>
      </w:r>
      <w:proofErr w:type="spellStart"/>
      <w:r>
        <w:t>non disadvantaged</w:t>
      </w:r>
      <w:proofErr w:type="spellEnd"/>
      <w:r>
        <w:t xml:space="preserve"> children at the school with the exception of the combined measure. This is lower than the figure for </w:t>
      </w:r>
      <w:proofErr w:type="spellStart"/>
      <w:r>
        <w:t>non disadvantaged</w:t>
      </w:r>
      <w:proofErr w:type="spellEnd"/>
      <w:r>
        <w:t xml:space="preserve"> pupils</w:t>
      </w:r>
      <w:r w:rsidR="001800B4">
        <w:t>. This figure will be compared to other pupils nationally when the data becomes available.</w:t>
      </w:r>
    </w:p>
    <w:p w:rsidR="00B33298" w:rsidRDefault="00B33298"/>
    <w:p w:rsidR="00BD09F1" w:rsidRDefault="00BD09F1"/>
    <w:sectPr w:rsidR="00BD09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D0"/>
    <w:rsid w:val="001800B4"/>
    <w:rsid w:val="007F33D0"/>
    <w:rsid w:val="00A26E4A"/>
    <w:rsid w:val="00B254CE"/>
    <w:rsid w:val="00B33298"/>
    <w:rsid w:val="00BD09F1"/>
    <w:rsid w:val="00CC164A"/>
    <w:rsid w:val="00CC71B3"/>
    <w:rsid w:val="00FA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3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Foster</dc:creator>
  <cp:lastModifiedBy>Rebecca Morris</cp:lastModifiedBy>
  <cp:revision>2</cp:revision>
  <cp:lastPrinted>2015-10-06T13:29:00Z</cp:lastPrinted>
  <dcterms:created xsi:type="dcterms:W3CDTF">2016-10-11T13:17:00Z</dcterms:created>
  <dcterms:modified xsi:type="dcterms:W3CDTF">2016-10-11T13:17:00Z</dcterms:modified>
</cp:coreProperties>
</file>