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D481F58" w:rsidR="00E66558" w:rsidRPr="006452B1" w:rsidRDefault="006452B1">
      <w:pPr>
        <w:pStyle w:val="Heading1"/>
        <w:rPr>
          <w:color w:val="3E762A" w:themeColor="accent1" w:themeShade="BF"/>
        </w:rPr>
      </w:pPr>
      <w:bookmarkStart w:id="0" w:name="_Toc400361362"/>
      <w:bookmarkStart w:id="1" w:name="_Toc443397153"/>
      <w:bookmarkStart w:id="2" w:name="_Toc357771638"/>
      <w:bookmarkStart w:id="3" w:name="_Toc346793416"/>
      <w:bookmarkStart w:id="4" w:name="_Toc328122777"/>
      <w:r w:rsidRPr="006452B1">
        <w:rPr>
          <w:noProof/>
          <w:color w:val="3E762A" w:themeColor="accent1" w:themeShade="BF"/>
        </w:rPr>
        <w:drawing>
          <wp:anchor distT="0" distB="0" distL="114300" distR="114300" simplePos="0" relativeHeight="251658240" behindDoc="1" locked="0" layoutInCell="1" allowOverlap="1" wp14:anchorId="67FBBF89" wp14:editId="6CD8A462">
            <wp:simplePos x="0" y="0"/>
            <wp:positionH relativeFrom="column">
              <wp:posOffset>4937760</wp:posOffset>
            </wp:positionH>
            <wp:positionV relativeFrom="paragraph">
              <wp:posOffset>6350</wp:posOffset>
            </wp:positionV>
            <wp:extent cx="850900" cy="685800"/>
            <wp:effectExtent l="0" t="0" r="6350" b="0"/>
            <wp:wrapTight wrapText="bothSides">
              <wp:wrapPolygon edited="0">
                <wp:start x="0" y="0"/>
                <wp:lineTo x="0" y="21000"/>
                <wp:lineTo x="21278" y="21000"/>
                <wp:lineTo x="21278" y="0"/>
                <wp:lineTo x="0" y="0"/>
              </wp:wrapPolygon>
            </wp:wrapTight>
            <wp:docPr id="2" name="Picture 2" descr="\\curric2k12\users\Staff\p.foster\CCA SLT\Logo - 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k12\users\Staff\p.foster\CCA SLT\Logo - A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E8" w:rsidRPr="006452B1">
        <w:rPr>
          <w:color w:val="3E762A" w:themeColor="accent1" w:themeShade="BF"/>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color w:val="3E762A" w:themeColor="accent1" w:themeShade="BF"/>
        </w:rPr>
        <w:t xml:space="preserve"> </w:t>
      </w:r>
    </w:p>
    <w:p w14:paraId="2A7D54B2" w14:textId="21226BC5" w:rsidR="00E66558" w:rsidRDefault="009D71E8">
      <w:pPr>
        <w:pStyle w:val="Heading2"/>
        <w:rPr>
          <w:b w:val="0"/>
          <w:bCs/>
          <w:color w:val="auto"/>
          <w:sz w:val="24"/>
          <w:szCs w:val="24"/>
        </w:rPr>
      </w:pPr>
      <w:r>
        <w:rPr>
          <w:b w:val="0"/>
          <w:bCs/>
          <w:color w:val="auto"/>
          <w:sz w:val="24"/>
          <w:szCs w:val="24"/>
        </w:rPr>
        <w:t>This statement details our school’s use of pupil premium (and recov</w:t>
      </w:r>
      <w:r w:rsidR="00695894">
        <w:rPr>
          <w:b w:val="0"/>
          <w:bCs/>
          <w:color w:val="auto"/>
          <w:sz w:val="24"/>
          <w:szCs w:val="24"/>
        </w:rPr>
        <w:t>ery premium for the 2021 to 2024</w:t>
      </w:r>
      <w:r>
        <w:rPr>
          <w:b w:val="0"/>
          <w:bCs/>
          <w:color w:val="auto"/>
          <w:sz w:val="24"/>
          <w:szCs w:val="24"/>
        </w:rPr>
        <w:t xml:space="preserve"> academic year</w:t>
      </w:r>
      <w:r w:rsidR="00695894">
        <w:rPr>
          <w:b w:val="0"/>
          <w:bCs/>
          <w:color w:val="auto"/>
          <w:sz w:val="24"/>
          <w:szCs w:val="24"/>
        </w:rPr>
        <w:t>s</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6452B1" w:rsidRDefault="009D71E8">
      <w:pPr>
        <w:pStyle w:val="Heading2"/>
        <w:rPr>
          <w:color w:val="3E762A" w:themeColor="accent1" w:themeShade="BF"/>
        </w:rPr>
      </w:pPr>
      <w:r w:rsidRPr="006452B1">
        <w:rPr>
          <w:color w:val="3E762A" w:themeColor="accent1" w:themeShade="BF"/>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rsidTr="006452B1">
        <w:tc>
          <w:tcPr>
            <w:tcW w:w="6517"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422CB11" w:rsidR="00E66558" w:rsidRDefault="006452B1">
            <w:pPr>
              <w:pStyle w:val="TableRow"/>
            </w:pPr>
            <w:r>
              <w:t>Christ Church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05AF5F3" w:rsidR="00E66558" w:rsidRDefault="00AF700E">
            <w:pPr>
              <w:pStyle w:val="TableRow"/>
            </w:pPr>
            <w:r>
              <w:t>175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038108D" w:rsidR="00E66558" w:rsidRDefault="00DA7DAD">
            <w:pPr>
              <w:pStyle w:val="TableRow"/>
            </w:pPr>
            <w:r>
              <w:t>58</w:t>
            </w:r>
            <w:r w:rsidR="00BE66CC">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A70C0FE" w:rsidR="00E66558" w:rsidRDefault="006A1FD7">
            <w:pPr>
              <w:pStyle w:val="TableRow"/>
            </w:pPr>
            <w:r>
              <w:t>2021 - 2024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A89BC" w14:textId="77777777" w:rsidR="00E66558" w:rsidRDefault="007330F6">
            <w:pPr>
              <w:pStyle w:val="TableRow"/>
            </w:pPr>
            <w:r>
              <w:t xml:space="preserve">First Published </w:t>
            </w:r>
            <w:proofErr w:type="gramStart"/>
            <w:r w:rsidR="00BE66CC">
              <w:t>14.9.21</w:t>
            </w:r>
            <w:proofErr w:type="gramEnd"/>
          </w:p>
          <w:p w14:paraId="2A7D54C5" w14:textId="10A36423" w:rsidR="007330F6" w:rsidRDefault="007330F6">
            <w:pPr>
              <w:pStyle w:val="TableRow"/>
            </w:pPr>
            <w:r>
              <w:t xml:space="preserve">This version published </w:t>
            </w:r>
            <w:r w:rsidR="000536CA">
              <w:t>31.12.23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D6E396D" w:rsidR="00E66558" w:rsidRDefault="000536CA">
            <w:pPr>
              <w:pStyle w:val="TableRow"/>
            </w:pPr>
            <w:r>
              <w:t>31.12</w:t>
            </w:r>
            <w:r w:rsidR="00BE66CC">
              <w:t>.2</w:t>
            </w:r>
            <w:r w:rsidR="00EF0385">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06370F1" w:rsidR="00E66558" w:rsidRDefault="00BE66CC">
            <w:pPr>
              <w:pStyle w:val="TableRow"/>
            </w:pPr>
            <w:proofErr w:type="spellStart"/>
            <w:proofErr w:type="gramStart"/>
            <w:r>
              <w:t>P.Foster</w:t>
            </w:r>
            <w:proofErr w:type="spellEnd"/>
            <w:proofErr w:type="gram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A680DF9" w:rsidR="00E66558" w:rsidRDefault="00BE66CC">
            <w:pPr>
              <w:pStyle w:val="TableRow"/>
            </w:pPr>
            <w:proofErr w:type="spellStart"/>
            <w:proofErr w:type="gramStart"/>
            <w:r>
              <w:t>P.Foster</w:t>
            </w:r>
            <w:proofErr w:type="spellEnd"/>
            <w:proofErr w:type="gram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45D1398" w:rsidR="00E66558" w:rsidRDefault="00BE66CC">
            <w:pPr>
              <w:pStyle w:val="TableRow"/>
            </w:pPr>
            <w:proofErr w:type="spellStart"/>
            <w:r>
              <w:t>C.Lee</w:t>
            </w:r>
            <w:proofErr w:type="spellEnd"/>
            <w:r w:rsidR="000536CA">
              <w:t xml:space="preserve"> </w:t>
            </w:r>
            <w:proofErr w:type="spellStart"/>
            <w:proofErr w:type="gramStart"/>
            <w:r w:rsidR="000536CA">
              <w:t>R</w:t>
            </w:r>
            <w:r w:rsidR="00044AAE">
              <w:t>.Briggs</w:t>
            </w:r>
            <w:proofErr w:type="spellEnd"/>
            <w:proofErr w:type="gramEnd"/>
          </w:p>
        </w:tc>
      </w:tr>
    </w:tbl>
    <w:bookmarkEnd w:id="2"/>
    <w:bookmarkEnd w:id="3"/>
    <w:bookmarkEnd w:id="4"/>
    <w:p w14:paraId="2A7D54D3" w14:textId="77777777" w:rsidR="00E66558" w:rsidRPr="006452B1" w:rsidRDefault="009D71E8">
      <w:pPr>
        <w:spacing w:before="480" w:line="240" w:lineRule="auto"/>
        <w:rPr>
          <w:b/>
          <w:color w:val="3E762A" w:themeColor="accent1" w:themeShade="BF"/>
          <w:sz w:val="32"/>
          <w:szCs w:val="32"/>
        </w:rPr>
      </w:pPr>
      <w:r w:rsidRPr="006452B1">
        <w:rPr>
          <w:b/>
          <w:color w:val="3E762A" w:themeColor="accent1" w:themeShade="BF"/>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6452B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vAlign w:val="center"/>
          </w:tcPr>
          <w:p w14:paraId="2A7D54D4" w14:textId="77777777" w:rsidR="00E66558" w:rsidRDefault="009D71E8">
            <w:pPr>
              <w:pStyle w:val="TableRow"/>
            </w:pPr>
            <w:r>
              <w:rPr>
                <w:b/>
              </w:rPr>
              <w:lastRenderedPageBreak/>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6121D747" w:rsidR="00E66558" w:rsidRDefault="009D71E8">
            <w:pPr>
              <w:pStyle w:val="TableRow"/>
            </w:pPr>
            <w:r>
              <w:t>Pupil premium funding allocation this academic year</w:t>
            </w:r>
            <w:r w:rsidR="00E2531A">
              <w:t xml:space="preserve"> </w:t>
            </w:r>
            <w:r w:rsidR="00E22036">
              <w:t>(</w:t>
            </w:r>
            <w:r w:rsidR="00BA7289">
              <w:t>202</w:t>
            </w:r>
            <w:r w:rsidR="00EF0385">
              <w:t>3</w:t>
            </w:r>
            <w:r w:rsidR="00E22036">
              <w:t>/2</w:t>
            </w:r>
            <w:r w:rsidR="00EF0385">
              <w:t>4</w:t>
            </w:r>
            <w:r w:rsidR="00E22036">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CC9F32" w:rsidR="00E66558" w:rsidRDefault="009D71E8">
            <w:pPr>
              <w:pStyle w:val="TableRow"/>
            </w:pPr>
            <w:r>
              <w:t>£</w:t>
            </w:r>
            <w:r w:rsidR="0064273A">
              <w:t>1</w:t>
            </w:r>
            <w:r w:rsidR="00C1094A">
              <w:t>46,955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D78B22C" w:rsidR="00E66558" w:rsidRDefault="009D71E8">
            <w:pPr>
              <w:pStyle w:val="TableRow"/>
            </w:pPr>
            <w:r>
              <w:t>£</w:t>
            </w:r>
            <w:r w:rsidR="007C18EC">
              <w:t>14</w:t>
            </w:r>
            <w:r w:rsidR="0064273A">
              <w:t>,</w:t>
            </w:r>
            <w:r w:rsidR="00F53176">
              <w:t>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DCDDD00" w:rsidR="00E66558" w:rsidRDefault="009D71E8">
            <w:pPr>
              <w:pStyle w:val="TableRow"/>
            </w:pPr>
            <w:r>
              <w:t>£</w:t>
            </w:r>
            <w:r w:rsidR="0064273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AB4063E" w:rsidR="00E66558" w:rsidRDefault="007C18EC" w:rsidP="007C18EC">
            <w:pPr>
              <w:pStyle w:val="TableRow"/>
              <w:ind w:left="0"/>
            </w:pPr>
            <w:r>
              <w:t>£</w:t>
            </w:r>
            <w:r w:rsidR="00C56F97">
              <w:t>160,955</w:t>
            </w:r>
          </w:p>
        </w:tc>
      </w:tr>
    </w:tbl>
    <w:p w14:paraId="2A7D54E4" w14:textId="77777777" w:rsidR="00E66558" w:rsidRPr="006452B1" w:rsidRDefault="009D71E8">
      <w:pPr>
        <w:pStyle w:val="Heading1"/>
        <w:rPr>
          <w:color w:val="3E762A" w:themeColor="accent1" w:themeShade="BF"/>
        </w:rPr>
      </w:pPr>
      <w:r w:rsidRPr="006452B1">
        <w:rPr>
          <w:color w:val="3E762A" w:themeColor="accent1" w:themeShade="BF"/>
        </w:rPr>
        <w:lastRenderedPageBreak/>
        <w:t>Part A: Pupil premium strategy plan</w:t>
      </w:r>
    </w:p>
    <w:p w14:paraId="2A7D54E5" w14:textId="77777777" w:rsidR="00E66558" w:rsidRPr="006452B1" w:rsidRDefault="009D71E8">
      <w:pPr>
        <w:pStyle w:val="Heading2"/>
        <w:rPr>
          <w:color w:val="3E762A" w:themeColor="accent1" w:themeShade="BF"/>
        </w:rPr>
      </w:pPr>
      <w:bookmarkStart w:id="14" w:name="_Toc357771640"/>
      <w:bookmarkStart w:id="15" w:name="_Toc346793418"/>
      <w:r w:rsidRPr="006452B1">
        <w:rPr>
          <w:color w:val="3E762A" w:themeColor="accent1" w:themeShade="BF"/>
        </w:rPr>
        <w:t>Statement of intent</w:t>
      </w:r>
    </w:p>
    <w:tbl>
      <w:tblPr>
        <w:tblW w:w="14879" w:type="dxa"/>
        <w:tblCellMar>
          <w:left w:w="10" w:type="dxa"/>
          <w:right w:w="10" w:type="dxa"/>
        </w:tblCellMar>
        <w:tblLook w:val="04A0" w:firstRow="1" w:lastRow="0" w:firstColumn="1" w:lastColumn="0" w:noHBand="0" w:noVBand="1"/>
      </w:tblPr>
      <w:tblGrid>
        <w:gridCol w:w="14879"/>
      </w:tblGrid>
      <w:tr w:rsidR="00E66558" w14:paraId="2A7D54EA" w14:textId="77777777" w:rsidTr="00606C18">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F009" w14:textId="7D58743A" w:rsidR="000E0CDF" w:rsidRDefault="000E0CDF">
            <w:pPr>
              <w:spacing w:before="120"/>
            </w:pPr>
            <w:r>
              <w:rPr>
                <w:iCs/>
              </w:rPr>
              <w:t>The ultimate objective of our Pupil Premium Strategy is to robustly tackle social disadvantage. We will use the additional funding so that our pupils develop knowledge, understanding, cultural capital and the ability to sel</w:t>
            </w:r>
            <w:r w:rsidR="00396754">
              <w:rPr>
                <w:iCs/>
              </w:rPr>
              <w:t xml:space="preserve">f-regulate. </w:t>
            </w:r>
            <w:r>
              <w:rPr>
                <w:iCs/>
              </w:rPr>
              <w:t xml:space="preserve">Self-regulated learners are learners who are </w:t>
            </w:r>
            <w:r>
              <w:t xml:space="preserve">aware of their strengths and weaknesses, and can motivate themselves to engage in, and improve, their learning. In developing these </w:t>
            </w:r>
            <w:r w:rsidR="00396754">
              <w:t>skills,</w:t>
            </w:r>
            <w:r>
              <w:t xml:space="preserve"> we are preparing our pupils to be successful members of 21</w:t>
            </w:r>
            <w:r w:rsidRPr="000E0CDF">
              <w:rPr>
                <w:vertAlign w:val="superscript"/>
              </w:rPr>
              <w:t>st</w:t>
            </w:r>
            <w:r>
              <w:t xml:space="preserve"> century British Society.</w:t>
            </w:r>
          </w:p>
          <w:p w14:paraId="11E5EB36" w14:textId="584841CB" w:rsidR="000E0CDF" w:rsidRDefault="00473C73">
            <w:pPr>
              <w:spacing w:before="120"/>
              <w:rPr>
                <w:iCs/>
              </w:rPr>
            </w:pPr>
            <w:r>
              <w:rPr>
                <w:iCs/>
              </w:rPr>
              <w:t>At the heart of our pupil premium strategy is our ambition for every child to succeed, our belief in the value of each child as an individual, our knowledge of the child and the child’s wider context within the community and the strong professional relationships within school. We identify our pupil’s needs and put strategies and interventions in place that meet them.</w:t>
            </w:r>
          </w:p>
          <w:p w14:paraId="6710DC10" w14:textId="13196018" w:rsidR="00473C73" w:rsidRDefault="00944325">
            <w:pPr>
              <w:spacing w:before="120"/>
              <w:rPr>
                <w:iCs/>
              </w:rPr>
            </w:pPr>
            <w:r>
              <w:rPr>
                <w:iCs/>
              </w:rPr>
              <w:t xml:space="preserve">Good teaching is central to our </w:t>
            </w:r>
            <w:proofErr w:type="gramStart"/>
            <w:r>
              <w:rPr>
                <w:iCs/>
              </w:rPr>
              <w:t>strategy</w:t>
            </w:r>
            <w:proofErr w:type="gramEnd"/>
            <w:r w:rsidR="004D15F9">
              <w:rPr>
                <w:iCs/>
              </w:rPr>
              <w:t xml:space="preserve"> and we engage in CPD designed to </w:t>
            </w:r>
            <w:r w:rsidR="00396754">
              <w:rPr>
                <w:iCs/>
              </w:rPr>
              <w:t xml:space="preserve">increase teachers’ teaching ability. </w:t>
            </w:r>
            <w:r w:rsidR="004D15F9">
              <w:rPr>
                <w:iCs/>
              </w:rPr>
              <w:t xml:space="preserve"> </w:t>
            </w:r>
            <w:r>
              <w:rPr>
                <w:iCs/>
              </w:rPr>
              <w:t xml:space="preserve"> At Christ Church Academy we have a cohesive and consistent approach</w:t>
            </w:r>
            <w:r w:rsidR="004D15F9">
              <w:rPr>
                <w:iCs/>
              </w:rPr>
              <w:t xml:space="preserve">. Research shows that good teaching has an impact on narrowing the disadvantage gap. </w:t>
            </w:r>
            <w:r>
              <w:rPr>
                <w:iCs/>
              </w:rPr>
              <w:t xml:space="preserve"> We recognise good teaching as teaching that develops pupils’ metacognition and self-regulated learning. Good quality teaching and </w:t>
            </w:r>
            <w:r w:rsidR="00E26B2A">
              <w:rPr>
                <w:iCs/>
              </w:rPr>
              <w:t xml:space="preserve">good quality, diagnostic </w:t>
            </w:r>
            <w:r>
              <w:rPr>
                <w:iCs/>
              </w:rPr>
              <w:t xml:space="preserve">assessment allow us to </w:t>
            </w:r>
            <w:r w:rsidR="00E26B2A">
              <w:rPr>
                <w:iCs/>
              </w:rPr>
              <w:t>focus on the areas that will have the most impact in</w:t>
            </w:r>
            <w:r>
              <w:rPr>
                <w:iCs/>
              </w:rPr>
              <w:t xml:space="preserve"> </w:t>
            </w:r>
            <w:r w:rsidR="00E26B2A">
              <w:rPr>
                <w:iCs/>
              </w:rPr>
              <w:t>improving outcomes</w:t>
            </w:r>
            <w:r>
              <w:rPr>
                <w:iCs/>
              </w:rPr>
              <w:t xml:space="preserve"> for both our disadvantaged and </w:t>
            </w:r>
            <w:r w:rsidR="00E26B2A">
              <w:rPr>
                <w:iCs/>
              </w:rPr>
              <w:t>non-disadvantaged</w:t>
            </w:r>
            <w:r>
              <w:rPr>
                <w:iCs/>
              </w:rPr>
              <w:t xml:space="preserve"> pupils</w:t>
            </w:r>
            <w:r w:rsidR="00E26B2A">
              <w:rPr>
                <w:iCs/>
              </w:rPr>
              <w:t xml:space="preserve">. </w:t>
            </w:r>
            <w:r w:rsidR="004D15F9">
              <w:rPr>
                <w:iCs/>
              </w:rPr>
              <w:t>Frequent, low stakes assessments in addition to ter</w:t>
            </w:r>
            <w:r w:rsidR="00396754">
              <w:rPr>
                <w:iCs/>
              </w:rPr>
              <w:t>mly summative assessments allow</w:t>
            </w:r>
            <w:r w:rsidR="004D15F9">
              <w:rPr>
                <w:iCs/>
              </w:rPr>
              <w:t xml:space="preserve"> us to identify pupils in need of interventions, including use of the national tutoring programme, to provide additional support. </w:t>
            </w:r>
          </w:p>
          <w:p w14:paraId="5DC3AC8B" w14:textId="6E3CF0B4" w:rsidR="00E26B2A" w:rsidRDefault="00E26B2A">
            <w:pPr>
              <w:spacing w:before="120"/>
              <w:rPr>
                <w:iCs/>
              </w:rPr>
            </w:pPr>
            <w:r>
              <w:rPr>
                <w:iCs/>
              </w:rPr>
              <w:t xml:space="preserve">Our </w:t>
            </w:r>
            <w:r w:rsidR="00396754">
              <w:rPr>
                <w:iCs/>
              </w:rPr>
              <w:t xml:space="preserve">wider </w:t>
            </w:r>
            <w:r>
              <w:rPr>
                <w:iCs/>
              </w:rPr>
              <w:t>recovery strategy identifies pupils who are vulnerable due to their social and emotional needs. These have often been compounded by the impact of the pandemi</w:t>
            </w:r>
            <w:r w:rsidR="004D15F9">
              <w:rPr>
                <w:iCs/>
              </w:rPr>
              <w:t xml:space="preserve">c. We </w:t>
            </w:r>
            <w:r w:rsidR="00396754">
              <w:rPr>
                <w:iCs/>
              </w:rPr>
              <w:t>use Boxall P</w:t>
            </w:r>
            <w:r>
              <w:rPr>
                <w:iCs/>
              </w:rPr>
              <w:t xml:space="preserve">rofile assessments in order to identify specific gaps in pupil’s social emotional development and mental health </w:t>
            </w:r>
            <w:r w:rsidR="004D15F9">
              <w:rPr>
                <w:iCs/>
              </w:rPr>
              <w:t xml:space="preserve">and have a </w:t>
            </w:r>
            <w:proofErr w:type="gramStart"/>
            <w:r w:rsidR="004D15F9">
              <w:rPr>
                <w:iCs/>
              </w:rPr>
              <w:t>5 tiered</w:t>
            </w:r>
            <w:proofErr w:type="gramEnd"/>
            <w:r w:rsidR="004D15F9">
              <w:rPr>
                <w:iCs/>
              </w:rPr>
              <w:t xml:space="preserve"> approach to removing these barriers to pupil learning. These barriers impact our disadvantaged and non-disadvantaged pupils but are more frequent amongst pupils in receipt of pupil premium, children looked after and pupils with children’s social care involvement. </w:t>
            </w:r>
          </w:p>
          <w:p w14:paraId="2A7D54E9" w14:textId="4502D8DA" w:rsidR="00E66558" w:rsidRPr="00396754" w:rsidRDefault="00396754" w:rsidP="00396754">
            <w:pPr>
              <w:spacing w:before="120"/>
              <w:rPr>
                <w:iCs/>
              </w:rPr>
            </w:pPr>
            <w:r>
              <w:rPr>
                <w:iCs/>
              </w:rPr>
              <w:lastRenderedPageBreak/>
              <w:t xml:space="preserve">Our strategy intends to ensure that all our actions are complimentary and work together to address identified needs </w:t>
            </w:r>
            <w:proofErr w:type="gramStart"/>
            <w:r>
              <w:rPr>
                <w:iCs/>
              </w:rPr>
              <w:t>in order to</w:t>
            </w:r>
            <w:proofErr w:type="gramEnd"/>
            <w:r>
              <w:rPr>
                <w:iCs/>
              </w:rPr>
              <w:t xml:space="preserve"> improve outcomes for our pupils and narrow the disadvantage gap. </w:t>
            </w:r>
            <w:r w:rsidR="00131B89">
              <w:rPr>
                <w:iCs/>
              </w:rPr>
              <w:t>Our pupil premium and recovery strategies are embedded within our broader strategic implementation cycle for school improvement.</w:t>
            </w:r>
          </w:p>
        </w:tc>
      </w:tr>
    </w:tbl>
    <w:p w14:paraId="2A7D54EB" w14:textId="77777777" w:rsidR="00E66558" w:rsidRPr="006452B1" w:rsidRDefault="009D71E8">
      <w:pPr>
        <w:pStyle w:val="Heading2"/>
        <w:spacing w:before="600"/>
        <w:rPr>
          <w:color w:val="3E762A" w:themeColor="accent1" w:themeShade="BF"/>
        </w:rPr>
      </w:pPr>
      <w:r w:rsidRPr="006452B1">
        <w:rPr>
          <w:color w:val="3E762A" w:themeColor="accent1" w:themeShade="BF"/>
        </w:rP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rsidTr="005B2D0F">
        <w:tc>
          <w:tcPr>
            <w:tcW w:w="1477"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5B2D0F"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5B2D0F" w:rsidRDefault="005B2D0F" w:rsidP="005B2D0F">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5F987AA" w:rsidR="005B2D0F" w:rsidRDefault="005B2D0F" w:rsidP="005B2D0F">
            <w:pPr>
              <w:pStyle w:val="TableRowCentered"/>
              <w:jc w:val="left"/>
            </w:pPr>
            <w:r>
              <w:rPr>
                <w:rFonts w:cs="Arial"/>
                <w:sz w:val="18"/>
                <w:szCs w:val="18"/>
              </w:rPr>
              <w:t>Lost learning and impact on pupil mental health of the covid 19 pandemic</w:t>
            </w:r>
          </w:p>
        </w:tc>
      </w:tr>
      <w:tr w:rsidR="005B2D0F"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5B2D0F" w:rsidRDefault="005B2D0F" w:rsidP="005B2D0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0D64738" w:rsidR="005B2D0F" w:rsidRDefault="005B2D0F" w:rsidP="005B2D0F">
            <w:pPr>
              <w:pStyle w:val="TableRowCentered"/>
              <w:jc w:val="left"/>
              <w:rPr>
                <w:sz w:val="22"/>
                <w:szCs w:val="22"/>
              </w:rPr>
            </w:pPr>
            <w:r>
              <w:rPr>
                <w:rFonts w:cs="Arial"/>
                <w:sz w:val="18"/>
                <w:szCs w:val="18"/>
              </w:rPr>
              <w:t xml:space="preserve">High incidence of social, </w:t>
            </w:r>
            <w:proofErr w:type="gramStart"/>
            <w:r>
              <w:rPr>
                <w:rFonts w:cs="Arial"/>
                <w:sz w:val="18"/>
                <w:szCs w:val="18"/>
              </w:rPr>
              <w:t>emotional</w:t>
            </w:r>
            <w:proofErr w:type="gramEnd"/>
            <w:r>
              <w:rPr>
                <w:rFonts w:cs="Arial"/>
                <w:sz w:val="18"/>
                <w:szCs w:val="18"/>
              </w:rPr>
              <w:t xml:space="preserve"> and mental health (SEMH) needs impacting on pupil ability to access learning and make expected progress from KS1 – KS2 </w:t>
            </w:r>
          </w:p>
        </w:tc>
      </w:tr>
      <w:tr w:rsidR="005B2D0F"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5B2D0F" w:rsidRDefault="005B2D0F" w:rsidP="005B2D0F">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CF27FA6" w:rsidR="005B2D0F" w:rsidRPr="00082151" w:rsidRDefault="00082151" w:rsidP="005B2D0F">
            <w:pPr>
              <w:pStyle w:val="TableRowCentered"/>
              <w:jc w:val="left"/>
              <w:rPr>
                <w:sz w:val="22"/>
                <w:szCs w:val="22"/>
              </w:rPr>
            </w:pPr>
            <w:r w:rsidRPr="00082151">
              <w:rPr>
                <w:rFonts w:cs="Arial"/>
                <w:sz w:val="18"/>
                <w:szCs w:val="18"/>
              </w:rPr>
              <w:t>In 2019 p</w:t>
            </w:r>
            <w:r w:rsidR="005B2D0F" w:rsidRPr="00082151">
              <w:rPr>
                <w:rFonts w:cs="Arial"/>
                <w:sz w:val="18"/>
                <w:szCs w:val="18"/>
              </w:rPr>
              <w:t>upil premium children attain</w:t>
            </w:r>
            <w:r w:rsidRPr="00082151">
              <w:rPr>
                <w:rFonts w:cs="Arial"/>
                <w:sz w:val="18"/>
                <w:szCs w:val="18"/>
              </w:rPr>
              <w:t>ed</w:t>
            </w:r>
            <w:r w:rsidR="005B2D0F" w:rsidRPr="00082151">
              <w:rPr>
                <w:rFonts w:cs="Arial"/>
                <w:sz w:val="18"/>
                <w:szCs w:val="18"/>
              </w:rPr>
              <w:t xml:space="preserve"> lower outcomes</w:t>
            </w:r>
            <w:r w:rsidR="007C371E">
              <w:rPr>
                <w:rFonts w:cs="Arial"/>
                <w:sz w:val="18"/>
                <w:szCs w:val="18"/>
              </w:rPr>
              <w:t xml:space="preserve"> and made slower progress</w:t>
            </w:r>
            <w:r w:rsidRPr="00082151">
              <w:rPr>
                <w:rFonts w:cs="Arial"/>
                <w:sz w:val="18"/>
                <w:szCs w:val="18"/>
              </w:rPr>
              <w:t xml:space="preserve"> in reading than non-disadvantaged pupils.</w:t>
            </w:r>
          </w:p>
        </w:tc>
      </w:tr>
      <w:tr w:rsidR="00774A5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774A5B" w:rsidRDefault="00774A5B" w:rsidP="00774A5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4F8A30B" w:rsidR="00774A5B" w:rsidRPr="00082151" w:rsidRDefault="00082151" w:rsidP="00082151">
            <w:pPr>
              <w:rPr>
                <w:rFonts w:cs="Arial"/>
                <w:sz w:val="18"/>
                <w:szCs w:val="18"/>
              </w:rPr>
            </w:pPr>
            <w:r w:rsidRPr="00082151">
              <w:rPr>
                <w:rFonts w:cs="Arial"/>
                <w:sz w:val="18"/>
                <w:szCs w:val="18"/>
              </w:rPr>
              <w:t xml:space="preserve">FFT data shows that in the first half of the autumn term, 2021, the attendance of our FSM pupils was above that for their national data set. </w:t>
            </w:r>
            <w:proofErr w:type="gramStart"/>
            <w:r w:rsidRPr="00082151">
              <w:rPr>
                <w:rFonts w:cs="Arial"/>
                <w:sz w:val="18"/>
                <w:szCs w:val="18"/>
              </w:rPr>
              <w:t>However</w:t>
            </w:r>
            <w:proofErr w:type="gramEnd"/>
            <w:r w:rsidRPr="00082151">
              <w:rPr>
                <w:rFonts w:cs="Arial"/>
                <w:sz w:val="18"/>
                <w:szCs w:val="18"/>
              </w:rPr>
              <w:t xml:space="preserve"> prior to the pandemic a</w:t>
            </w:r>
            <w:r w:rsidR="00774A5B" w:rsidRPr="00082151">
              <w:rPr>
                <w:rFonts w:cs="Arial"/>
                <w:sz w:val="18"/>
                <w:szCs w:val="18"/>
              </w:rPr>
              <w:t>ttendance for our pupi</w:t>
            </w:r>
            <w:r w:rsidRPr="00082151">
              <w:rPr>
                <w:rFonts w:cs="Arial"/>
                <w:sz w:val="18"/>
                <w:szCs w:val="18"/>
              </w:rPr>
              <w:t>l premium children has rose from</w:t>
            </w:r>
            <w:r w:rsidR="00774A5B" w:rsidRPr="00082151">
              <w:rPr>
                <w:rFonts w:cs="Arial"/>
                <w:sz w:val="18"/>
                <w:szCs w:val="18"/>
              </w:rPr>
              <w:t xml:space="preserve"> 93.5% for 17/18 to 95.37 for 2018/19 </w:t>
            </w:r>
            <w:r w:rsidRPr="00082151">
              <w:rPr>
                <w:rFonts w:cs="Arial"/>
                <w:sz w:val="18"/>
                <w:szCs w:val="18"/>
              </w:rPr>
              <w:t xml:space="preserve">however the national average had risen to </w:t>
            </w:r>
            <w:r w:rsidR="00774A5B" w:rsidRPr="00082151">
              <w:rPr>
                <w:rFonts w:cs="Arial"/>
                <w:sz w:val="18"/>
                <w:szCs w:val="18"/>
              </w:rPr>
              <w:t>97% and for our non-pup</w:t>
            </w:r>
            <w:r w:rsidRPr="00082151">
              <w:rPr>
                <w:rFonts w:cs="Arial"/>
                <w:sz w:val="18"/>
                <w:szCs w:val="18"/>
              </w:rPr>
              <w:t>il premium pupils attendance had</w:t>
            </w:r>
            <w:r w:rsidR="00774A5B" w:rsidRPr="00082151">
              <w:rPr>
                <w:rFonts w:cs="Arial"/>
                <w:sz w:val="18"/>
                <w:szCs w:val="18"/>
              </w:rPr>
              <w:t xml:space="preserve"> risen from 95.6% to 96.02%. </w:t>
            </w:r>
            <w:r w:rsidRPr="00082151">
              <w:rPr>
                <w:rFonts w:cs="Arial"/>
                <w:sz w:val="18"/>
                <w:szCs w:val="18"/>
              </w:rPr>
              <w:t xml:space="preserve"> National </w:t>
            </w:r>
            <w:r w:rsidRPr="00082151">
              <w:rPr>
                <w:rFonts w:cs="Arial"/>
                <w:b/>
                <w:sz w:val="18"/>
                <w:szCs w:val="18"/>
              </w:rPr>
              <w:t>Data for 19/</w:t>
            </w:r>
            <w:r w:rsidR="00774A5B" w:rsidRPr="00082151">
              <w:rPr>
                <w:rFonts w:cs="Arial"/>
                <w:b/>
                <w:sz w:val="18"/>
                <w:szCs w:val="18"/>
              </w:rPr>
              <w:t>20</w:t>
            </w:r>
            <w:r w:rsidRPr="00082151">
              <w:rPr>
                <w:rFonts w:cs="Arial"/>
                <w:b/>
                <w:sz w:val="18"/>
                <w:szCs w:val="18"/>
              </w:rPr>
              <w:t>and 20/21</w:t>
            </w:r>
            <w:r w:rsidR="00774A5B" w:rsidRPr="00082151">
              <w:rPr>
                <w:rFonts w:cs="Arial"/>
                <w:b/>
                <w:sz w:val="18"/>
                <w:szCs w:val="18"/>
              </w:rPr>
              <w:t xml:space="preserve"> is not available because of Covid 19 pandemic.</w:t>
            </w:r>
          </w:p>
        </w:tc>
      </w:tr>
      <w:tr w:rsidR="00774A5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774A5B" w:rsidRDefault="00774A5B" w:rsidP="00774A5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BF26F3C" w:rsidR="00774A5B" w:rsidRDefault="00774A5B" w:rsidP="00774A5B">
            <w:pPr>
              <w:pStyle w:val="TableRowCentered"/>
              <w:jc w:val="left"/>
              <w:rPr>
                <w:iCs/>
                <w:sz w:val="22"/>
              </w:rPr>
            </w:pPr>
            <w:r>
              <w:rPr>
                <w:rFonts w:cs="Arial"/>
                <w:sz w:val="18"/>
                <w:szCs w:val="18"/>
              </w:rPr>
              <w:t xml:space="preserve">Low family income leading to children not receiving an adequate breakfast and arriving at school without uniform impacting on their ability to focus on learning. Lack of variety of learning experiences in holidays and at weekends </w:t>
            </w:r>
            <w:proofErr w:type="gramStart"/>
            <w:r>
              <w:rPr>
                <w:rFonts w:cs="Arial"/>
                <w:sz w:val="18"/>
                <w:szCs w:val="18"/>
              </w:rPr>
              <w:t>e.g.</w:t>
            </w:r>
            <w:proofErr w:type="gramEnd"/>
            <w:r>
              <w:rPr>
                <w:rFonts w:cs="Arial"/>
                <w:sz w:val="18"/>
                <w:szCs w:val="18"/>
              </w:rPr>
              <w:t xml:space="preserve"> days out. </w:t>
            </w:r>
          </w:p>
        </w:tc>
      </w:tr>
      <w:tr w:rsidR="00695894" w14:paraId="5772376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1AAE2" w14:textId="7B93B53D" w:rsidR="00695894" w:rsidRDefault="00695894" w:rsidP="00774A5B">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A685" w14:textId="6120DC3F" w:rsidR="00695894" w:rsidRPr="00F34806" w:rsidRDefault="00695894" w:rsidP="00774A5B">
            <w:pPr>
              <w:pStyle w:val="TableRowCentered"/>
              <w:jc w:val="left"/>
              <w:rPr>
                <w:rFonts w:cs="Arial"/>
                <w:color w:val="FF0000"/>
                <w:sz w:val="18"/>
                <w:szCs w:val="18"/>
              </w:rPr>
            </w:pPr>
            <w:r>
              <w:rPr>
                <w:rFonts w:cs="Arial"/>
                <w:sz w:val="18"/>
                <w:szCs w:val="18"/>
              </w:rPr>
              <w:t xml:space="preserve">Staffing changes mean that </w:t>
            </w:r>
            <w:r w:rsidR="00F34806">
              <w:rPr>
                <w:rFonts w:cs="Arial"/>
                <w:sz w:val="18"/>
                <w:szCs w:val="18"/>
              </w:rPr>
              <w:t xml:space="preserve">in 2022 </w:t>
            </w:r>
            <w:r>
              <w:rPr>
                <w:rFonts w:cs="Arial"/>
                <w:sz w:val="18"/>
                <w:szCs w:val="18"/>
              </w:rPr>
              <w:t>50% of our class teachers are either ITT or ECT teachers who may be less experienced in identifying and supporting the needs of disadvantaged pupils and will require additional support.</w:t>
            </w:r>
            <w:r w:rsidR="00F34806">
              <w:rPr>
                <w:rFonts w:cs="Arial"/>
                <w:sz w:val="18"/>
                <w:szCs w:val="18"/>
              </w:rPr>
              <w:t xml:space="preserve"> </w:t>
            </w:r>
            <w:r w:rsidR="00F34806">
              <w:rPr>
                <w:rFonts w:cs="Arial"/>
                <w:color w:val="FF0000"/>
                <w:sz w:val="18"/>
                <w:szCs w:val="18"/>
              </w:rPr>
              <w:t>Upd</w:t>
            </w:r>
            <w:r w:rsidR="00863FB4">
              <w:rPr>
                <w:rFonts w:cs="Arial"/>
                <w:color w:val="FF0000"/>
                <w:sz w:val="18"/>
                <w:szCs w:val="18"/>
              </w:rPr>
              <w:t>ate for 2023/24only one of our teachers is now an ECT</w:t>
            </w:r>
          </w:p>
        </w:tc>
      </w:tr>
    </w:tbl>
    <w:p w14:paraId="2A7D54FF" w14:textId="77777777" w:rsidR="00E66558" w:rsidRPr="006452B1" w:rsidRDefault="009D71E8">
      <w:pPr>
        <w:pStyle w:val="Heading2"/>
        <w:spacing w:before="600"/>
        <w:rPr>
          <w:color w:val="3E762A" w:themeColor="accent1" w:themeShade="BF"/>
        </w:rPr>
      </w:pPr>
      <w:bookmarkStart w:id="16" w:name="_Toc443397160"/>
      <w:r w:rsidRPr="006452B1">
        <w:rPr>
          <w:color w:val="3E762A" w:themeColor="accent1" w:themeShade="BF"/>
        </w:rPr>
        <w:t xml:space="preserve">Intended </w:t>
      </w:r>
      <w:proofErr w:type="gramStart"/>
      <w:r w:rsidRPr="006452B1">
        <w:rPr>
          <w:color w:val="3E762A" w:themeColor="accent1" w:themeShade="BF"/>
        </w:rPr>
        <w:t>outcomes</w:t>
      </w:r>
      <w:proofErr w:type="gramEnd"/>
      <w:r w:rsidRPr="006452B1">
        <w:rPr>
          <w:color w:val="3E762A" w:themeColor="accent1" w:themeShade="BF"/>
        </w:rP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4866" w:type="pct"/>
        <w:tblCellMar>
          <w:left w:w="10" w:type="dxa"/>
          <w:right w:w="10" w:type="dxa"/>
        </w:tblCellMar>
        <w:tblLook w:val="04A0" w:firstRow="1" w:lastRow="0" w:firstColumn="1" w:lastColumn="0" w:noHBand="0" w:noVBand="1"/>
      </w:tblPr>
      <w:tblGrid>
        <w:gridCol w:w="4815"/>
        <w:gridCol w:w="9355"/>
      </w:tblGrid>
      <w:tr w:rsidR="00431498" w14:paraId="2A7D5503" w14:textId="49F3C643" w:rsidTr="00431498">
        <w:tc>
          <w:tcPr>
            <w:tcW w:w="4815"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01" w14:textId="77777777" w:rsidR="00431498" w:rsidRDefault="00431498">
            <w:pPr>
              <w:pStyle w:val="TableHeader"/>
              <w:jc w:val="left"/>
            </w:pPr>
            <w:r>
              <w:lastRenderedPageBreak/>
              <w:t>Intended outcome</w:t>
            </w:r>
          </w:p>
        </w:tc>
        <w:tc>
          <w:tcPr>
            <w:tcW w:w="9355"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02" w14:textId="77777777" w:rsidR="00431498" w:rsidRDefault="00431498">
            <w:pPr>
              <w:pStyle w:val="TableHeader"/>
              <w:jc w:val="left"/>
            </w:pPr>
            <w:r>
              <w:t>Success criteria</w:t>
            </w:r>
          </w:p>
        </w:tc>
      </w:tr>
      <w:tr w:rsidR="00431498" w14:paraId="2A7D5506" w14:textId="06A54EF3" w:rsidTr="00431498">
        <w:trPr>
          <w:trHeight w:val="1782"/>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0F58A6" w:rsidR="00431498" w:rsidRPr="00583FB1" w:rsidRDefault="00431498" w:rsidP="00271C18">
            <w:pPr>
              <w:pStyle w:val="TableRow"/>
              <w:rPr>
                <w:sz w:val="20"/>
                <w:szCs w:val="20"/>
              </w:rPr>
            </w:pPr>
            <w:r w:rsidRPr="00583FB1">
              <w:rPr>
                <w:sz w:val="20"/>
                <w:szCs w:val="20"/>
              </w:rPr>
              <w:t xml:space="preserve">Outcomes for disadvantaged (and non-disadvantaged) pupils whose teachers are ITT and ECT teachers to be in line with or better than, prior attainment. </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9E1A535" w:rsidR="00431498" w:rsidRDefault="00431498" w:rsidP="00271C18">
            <w:pPr>
              <w:pStyle w:val="TableRowCentered"/>
              <w:jc w:val="left"/>
              <w:rPr>
                <w:sz w:val="22"/>
                <w:szCs w:val="22"/>
              </w:rPr>
            </w:pPr>
            <w:r>
              <w:rPr>
                <w:sz w:val="22"/>
                <w:szCs w:val="22"/>
              </w:rPr>
              <w:t xml:space="preserve">Assessment outcomes indicate that disadvantaged pupils in classes taught by ITT or ECT teachers are </w:t>
            </w:r>
            <w:proofErr w:type="gramStart"/>
            <w:r>
              <w:rPr>
                <w:sz w:val="22"/>
                <w:szCs w:val="22"/>
              </w:rPr>
              <w:t>identified</w:t>
            </w:r>
            <w:proofErr w:type="gramEnd"/>
            <w:r>
              <w:rPr>
                <w:sz w:val="22"/>
                <w:szCs w:val="22"/>
              </w:rPr>
              <w:t xml:space="preserve"> and support put in place to support them. Outcomes should reflect an expected rate of progress from their starting points at the end of the previous key stage using national data where available and internal data where this is not available. </w:t>
            </w:r>
          </w:p>
        </w:tc>
      </w:tr>
      <w:tr w:rsidR="00431498" w14:paraId="2A7D5509" w14:textId="7651FE3D" w:rsidTr="0043149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452B394" w:rsidR="00431498" w:rsidRDefault="00431498" w:rsidP="00583FB1">
            <w:pPr>
              <w:pStyle w:val="TableRow"/>
              <w:rPr>
                <w:sz w:val="22"/>
                <w:szCs w:val="22"/>
              </w:rPr>
            </w:pPr>
            <w:r>
              <w:rPr>
                <w:rFonts w:eastAsia="Calibri" w:cs="Arial"/>
                <w:sz w:val="20"/>
                <w:szCs w:val="20"/>
              </w:rPr>
              <w:t>Accelerated attainment and progress for disadvantaged pupils by the end of KS1 and end of KS2</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E679758" w:rsidR="00431498" w:rsidRDefault="00431498" w:rsidP="00852379">
            <w:pPr>
              <w:pStyle w:val="TableRowCentered"/>
              <w:jc w:val="left"/>
              <w:rPr>
                <w:sz w:val="22"/>
                <w:szCs w:val="22"/>
              </w:rPr>
            </w:pPr>
            <w:r>
              <w:rPr>
                <w:sz w:val="22"/>
                <w:szCs w:val="22"/>
              </w:rPr>
              <w:t>Assessment outcomes indicate that disadvantaged pupils make an expected rate of progress from their starting points at the end of the previous key stage using national data where available and internal data where this is not available.</w:t>
            </w:r>
          </w:p>
        </w:tc>
      </w:tr>
      <w:tr w:rsidR="00431498" w14:paraId="2A7D550C" w14:textId="6822D963" w:rsidTr="0043149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3A81DE" w:rsidR="00431498" w:rsidRPr="00583FB1" w:rsidRDefault="00431498" w:rsidP="00583FB1">
            <w:pPr>
              <w:pStyle w:val="TableRow"/>
              <w:rPr>
                <w:sz w:val="22"/>
                <w:szCs w:val="22"/>
              </w:rPr>
            </w:pPr>
            <w:r>
              <w:rPr>
                <w:rFonts w:cs="Arial"/>
                <w:sz w:val="18"/>
                <w:szCs w:val="18"/>
              </w:rPr>
              <w:t>Improved outcomes for p</w:t>
            </w:r>
            <w:r w:rsidRPr="00583FB1">
              <w:rPr>
                <w:rFonts w:cs="Arial"/>
                <w:sz w:val="18"/>
                <w:szCs w:val="18"/>
              </w:rPr>
              <w:t xml:space="preserve">upils experiencing </w:t>
            </w:r>
            <w:r>
              <w:rPr>
                <w:rFonts w:cs="Arial"/>
                <w:sz w:val="18"/>
                <w:szCs w:val="18"/>
              </w:rPr>
              <w:t>high levels of SEMH difficulties.</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89B64D8" w:rsidR="00431498" w:rsidRDefault="00431498" w:rsidP="00271C18">
            <w:pPr>
              <w:pStyle w:val="TableRowCentered"/>
              <w:jc w:val="left"/>
              <w:rPr>
                <w:sz w:val="22"/>
                <w:szCs w:val="22"/>
              </w:rPr>
            </w:pPr>
            <w:r>
              <w:rPr>
                <w:sz w:val="22"/>
                <w:szCs w:val="22"/>
              </w:rPr>
              <w:t xml:space="preserve">Pupils experiencing SEMH difficulties make progress in terms of </w:t>
            </w:r>
            <w:proofErr w:type="spellStart"/>
            <w:r>
              <w:rPr>
                <w:sz w:val="22"/>
                <w:szCs w:val="22"/>
              </w:rPr>
              <w:t>Boxhall</w:t>
            </w:r>
            <w:proofErr w:type="spellEnd"/>
            <w:r>
              <w:rPr>
                <w:sz w:val="22"/>
                <w:szCs w:val="22"/>
              </w:rPr>
              <w:t xml:space="preserve"> Profile assessments and subject specific assessments and there is evidence that they are closing the gap between themselves and their peers.</w:t>
            </w:r>
          </w:p>
        </w:tc>
      </w:tr>
      <w:tr w:rsidR="00431498" w14:paraId="2A7D550F" w14:textId="527444A4" w:rsidTr="0043149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ABF0AD1" w:rsidR="00431498" w:rsidRDefault="00431498" w:rsidP="00271C18">
            <w:pPr>
              <w:pStyle w:val="TableRow"/>
              <w:rPr>
                <w:sz w:val="22"/>
                <w:szCs w:val="22"/>
              </w:rPr>
            </w:pPr>
            <w:r>
              <w:rPr>
                <w:rFonts w:cs="Arial"/>
                <w:sz w:val="18"/>
                <w:szCs w:val="18"/>
              </w:rPr>
              <w:t xml:space="preserve">Disadvantaged pupils </w:t>
            </w:r>
            <w:proofErr w:type="gramStart"/>
            <w:r>
              <w:rPr>
                <w:rFonts w:cs="Arial"/>
                <w:sz w:val="18"/>
                <w:szCs w:val="18"/>
              </w:rPr>
              <w:t>are able to</w:t>
            </w:r>
            <w:proofErr w:type="gramEnd"/>
            <w:r>
              <w:rPr>
                <w:rFonts w:cs="Arial"/>
                <w:sz w:val="18"/>
                <w:szCs w:val="18"/>
              </w:rPr>
              <w:t xml:space="preserve"> access the full range of services/experiences offered by the school</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A4F1F19" w:rsidR="00431498" w:rsidRDefault="00431498" w:rsidP="00271C18">
            <w:pPr>
              <w:pStyle w:val="TableRowCentered"/>
              <w:jc w:val="left"/>
              <w:rPr>
                <w:sz w:val="22"/>
                <w:szCs w:val="22"/>
              </w:rPr>
            </w:pPr>
            <w:r>
              <w:rPr>
                <w:sz w:val="22"/>
                <w:szCs w:val="22"/>
              </w:rPr>
              <w:t xml:space="preserve">Pupils </w:t>
            </w:r>
            <w:proofErr w:type="gramStart"/>
            <w:r>
              <w:rPr>
                <w:sz w:val="22"/>
                <w:szCs w:val="22"/>
              </w:rPr>
              <w:t>are able to</w:t>
            </w:r>
            <w:proofErr w:type="gramEnd"/>
            <w:r>
              <w:rPr>
                <w:sz w:val="22"/>
                <w:szCs w:val="22"/>
              </w:rPr>
              <w:t xml:space="preserve"> attend trips and clubs despite low family income.</w:t>
            </w:r>
          </w:p>
        </w:tc>
      </w:tr>
      <w:tr w:rsidR="00431498" w14:paraId="3440E97C" w14:textId="107C1D83" w:rsidTr="0043149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AB274" w14:textId="4281893C" w:rsidR="00431498" w:rsidRDefault="00431498" w:rsidP="00271C18">
            <w:pPr>
              <w:pStyle w:val="TableRow"/>
              <w:rPr>
                <w:rFonts w:cs="Arial"/>
                <w:sz w:val="18"/>
                <w:szCs w:val="18"/>
              </w:rPr>
            </w:pPr>
            <w:r>
              <w:rPr>
                <w:rFonts w:eastAsia="Calibri" w:cs="Arial"/>
                <w:sz w:val="20"/>
                <w:szCs w:val="20"/>
              </w:rPr>
              <w:t>To ensure that barriers to learning caused by emotional needs, particularly relating to recovery from the pandemic are met</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CF2F1" w14:textId="46FD3914" w:rsidR="00431498" w:rsidRDefault="00431498" w:rsidP="00271C18">
            <w:pPr>
              <w:pStyle w:val="TableRowCentered"/>
              <w:jc w:val="left"/>
              <w:rPr>
                <w:sz w:val="22"/>
                <w:szCs w:val="22"/>
              </w:rPr>
            </w:pPr>
            <w:r>
              <w:rPr>
                <w:sz w:val="22"/>
                <w:szCs w:val="22"/>
              </w:rPr>
              <w:t>Boxall Profile or other appropriate assessments used, indicate that pupils have made progress from starting points</w:t>
            </w:r>
          </w:p>
        </w:tc>
      </w:tr>
    </w:tbl>
    <w:p w14:paraId="2A06959E" w14:textId="5507E820" w:rsidR="00120AB1" w:rsidRDefault="00120AB1">
      <w:pPr>
        <w:suppressAutoHyphens w:val="0"/>
        <w:spacing w:after="0" w:line="240" w:lineRule="auto"/>
        <w:rPr>
          <w:b/>
          <w:color w:val="104F75"/>
          <w:sz w:val="32"/>
          <w:szCs w:val="32"/>
        </w:rPr>
      </w:pPr>
      <w:r>
        <w:br w:type="page"/>
      </w:r>
    </w:p>
    <w:p w14:paraId="2A7D5512" w14:textId="7B489199" w:rsidR="00E66558" w:rsidRPr="006452B1" w:rsidRDefault="009D71E8">
      <w:pPr>
        <w:pStyle w:val="Heading2"/>
        <w:rPr>
          <w:color w:val="3E762A" w:themeColor="accent1" w:themeShade="BF"/>
        </w:rPr>
      </w:pPr>
      <w:r w:rsidRPr="006452B1">
        <w:rPr>
          <w:color w:val="3E762A" w:themeColor="accent1" w:themeShade="BF"/>
        </w:rP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6452B1" w:rsidRDefault="009D71E8">
      <w:pPr>
        <w:pStyle w:val="Heading3"/>
        <w:rPr>
          <w:color w:val="3E762A" w:themeColor="accent1" w:themeShade="BF"/>
        </w:rPr>
      </w:pPr>
      <w:r w:rsidRPr="006452B1">
        <w:rPr>
          <w:color w:val="3E762A" w:themeColor="accent1" w:themeShade="BF"/>
        </w:rPr>
        <w:t>Teaching (for example, CPD, recruitment and retention)</w:t>
      </w:r>
    </w:p>
    <w:p w14:paraId="2A7D5515" w14:textId="23526D7A" w:rsidR="00E66558" w:rsidRDefault="009D71E8">
      <w:r>
        <w:t xml:space="preserve">Budgeted cost: £ </w:t>
      </w:r>
      <w:r w:rsidR="00172C10">
        <w:t>2</w:t>
      </w:r>
      <w:r w:rsidR="004459AB">
        <w:t>1,000</w:t>
      </w:r>
    </w:p>
    <w:tbl>
      <w:tblPr>
        <w:tblW w:w="5000" w:type="pct"/>
        <w:tblCellMar>
          <w:left w:w="10" w:type="dxa"/>
          <w:right w:w="10" w:type="dxa"/>
        </w:tblCellMar>
        <w:tblLook w:val="04A0" w:firstRow="1" w:lastRow="0" w:firstColumn="1" w:lastColumn="0" w:noHBand="0" w:noVBand="1"/>
      </w:tblPr>
      <w:tblGrid>
        <w:gridCol w:w="3525"/>
        <w:gridCol w:w="7699"/>
        <w:gridCol w:w="3336"/>
      </w:tblGrid>
      <w:tr w:rsidR="00E66558" w14:paraId="2A7D5519" w14:textId="77777777" w:rsidTr="006452B1">
        <w:tc>
          <w:tcPr>
            <w:tcW w:w="2688"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7C7CDD0" w:rsidR="00E66558" w:rsidRPr="007C371E" w:rsidRDefault="007C371E">
            <w:pPr>
              <w:pStyle w:val="TableRow"/>
              <w:rPr>
                <w:sz w:val="22"/>
              </w:rPr>
            </w:pPr>
            <w:r w:rsidRPr="007C371E">
              <w:rPr>
                <w:sz w:val="22"/>
              </w:rPr>
              <w:t>CPD</w:t>
            </w:r>
            <w:r w:rsidR="00172C10">
              <w:rPr>
                <w:sz w:val="22"/>
              </w:rPr>
              <w:t xml:space="preserve"> (delivery and release time</w:t>
            </w:r>
            <w:r>
              <w:rPr>
                <w:sz w:val="22"/>
              </w:rPr>
              <w:t xml:space="preserve"> costs)</w:t>
            </w:r>
            <w:r w:rsidRPr="007C371E">
              <w:rPr>
                <w:sz w:val="22"/>
              </w:rPr>
              <w:t xml:space="preserve"> aimed at increasing the teaching ability of our ITT and ECT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949C4" w14:textId="77777777" w:rsidR="00E66558" w:rsidRPr="00131B89" w:rsidRDefault="002476A6">
            <w:pPr>
              <w:pStyle w:val="TableRowCentered"/>
              <w:jc w:val="left"/>
              <w:rPr>
                <w:rFonts w:ascii="Arial Narrow" w:hAnsi="Arial Narrow" w:cstheme="minorHAnsi"/>
                <w:color w:val="37474F"/>
                <w:sz w:val="20"/>
                <w:shd w:val="clear" w:color="auto" w:fill="FFFFFF"/>
              </w:rPr>
            </w:pPr>
            <w:r w:rsidRPr="00131B89">
              <w:rPr>
                <w:rFonts w:ascii="Arial Narrow" w:hAnsi="Arial Narrow" w:cstheme="minorHAnsi"/>
                <w:color w:val="37474F"/>
                <w:sz w:val="20"/>
                <w:shd w:val="clear" w:color="auto" w:fill="FFFFFF"/>
              </w:rPr>
              <w:t>‘Supporting high quality teaching is pivotal in improving children’s outcomes. Indeed, research tells us that high quality teaching can narrow the disadvantage gap.’</w:t>
            </w:r>
          </w:p>
          <w:p w14:paraId="19E5F9EE" w14:textId="0737B860" w:rsidR="002476A6" w:rsidRDefault="00C02EA8">
            <w:pPr>
              <w:pStyle w:val="TableRowCentered"/>
              <w:jc w:val="left"/>
              <w:rPr>
                <w:sz w:val="22"/>
              </w:rPr>
            </w:pPr>
            <w:hyperlink r:id="rId8" w:history="1">
              <w:r w:rsidR="002476A6" w:rsidRPr="00532CFA">
                <w:rPr>
                  <w:rStyle w:val="Hyperlink"/>
                  <w:sz w:val="22"/>
                </w:rPr>
                <w:t>https://educationendowmentfoundation.org.uk/education-evidence/guidance-reports/effective-professional-development</w:t>
              </w:r>
            </w:hyperlink>
          </w:p>
          <w:p w14:paraId="2A7D551F" w14:textId="5B77B19F" w:rsidR="002476A6" w:rsidRDefault="002476A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9860F52" w:rsidR="00E66558" w:rsidRDefault="00695894">
            <w:pPr>
              <w:pStyle w:val="TableRowCentered"/>
              <w:jc w:val="left"/>
              <w:rPr>
                <w:sz w:val="22"/>
              </w:rPr>
            </w:pPr>
            <w:r>
              <w:rPr>
                <w:sz w:val="22"/>
              </w:rPr>
              <w:t>6</w:t>
            </w:r>
          </w:p>
        </w:tc>
      </w:tr>
      <w:tr w:rsidR="007C371E" w14:paraId="5D946C7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2BE5" w14:textId="24E04F1B" w:rsidR="007C371E" w:rsidRPr="007C371E" w:rsidRDefault="00172C10">
            <w:pPr>
              <w:pStyle w:val="TableRow"/>
              <w:rPr>
                <w:sz w:val="22"/>
              </w:rPr>
            </w:pPr>
            <w:r>
              <w:rPr>
                <w:sz w:val="22"/>
              </w:rPr>
              <w:t>CPD (delivery and release time</w:t>
            </w:r>
            <w:r w:rsidR="007C371E">
              <w:rPr>
                <w:sz w:val="22"/>
              </w:rPr>
              <w:t xml:space="preserve"> costs) to embed good practice and to increase teaching ability of all teaching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50DF" w14:textId="77777777" w:rsidR="007C371E" w:rsidRPr="00131B89" w:rsidRDefault="002476A6">
            <w:pPr>
              <w:pStyle w:val="TableRowCentered"/>
              <w:jc w:val="left"/>
              <w:rPr>
                <w:rFonts w:ascii="Arial Narrow" w:hAnsi="Arial Narrow"/>
                <w:color w:val="37474F"/>
                <w:sz w:val="20"/>
                <w:shd w:val="clear" w:color="auto" w:fill="FFFFFF"/>
              </w:rPr>
            </w:pPr>
            <w:r w:rsidRPr="00131B89">
              <w:rPr>
                <w:rFonts w:ascii="Arial Narrow" w:hAnsi="Arial Narrow"/>
                <w:color w:val="37474F"/>
                <w:sz w:val="20"/>
                <w:shd w:val="clear" w:color="auto" w:fill="FFFFFF"/>
              </w:rPr>
              <w:t>‘Supporting high quality teaching is pivotal in improving children’s outcomes. Indeed, research tells us that high quality teaching can narrow the disadvantage gap.’</w:t>
            </w:r>
          </w:p>
          <w:p w14:paraId="2D92172B" w14:textId="28DB6786" w:rsidR="002476A6" w:rsidRDefault="00C02EA8">
            <w:pPr>
              <w:pStyle w:val="TableRowCentered"/>
              <w:jc w:val="left"/>
              <w:rPr>
                <w:sz w:val="22"/>
              </w:rPr>
            </w:pPr>
            <w:hyperlink r:id="rId9" w:history="1">
              <w:r w:rsidR="002476A6" w:rsidRPr="00532CFA">
                <w:rPr>
                  <w:rStyle w:val="Hyperlink"/>
                  <w:sz w:val="22"/>
                </w:rPr>
                <w:t>https://educationendowmentfoundation.org.uk/education-evidence/guidance-reports/effective-professional-development</w:t>
              </w:r>
            </w:hyperlink>
          </w:p>
          <w:p w14:paraId="2284BB6C" w14:textId="4BC70831" w:rsidR="002476A6" w:rsidRDefault="002476A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DFCC" w14:textId="43D9664B" w:rsidR="007C371E" w:rsidRDefault="00695894">
            <w:pPr>
              <w:pStyle w:val="TableRowCentered"/>
              <w:jc w:val="left"/>
              <w:rPr>
                <w:sz w:val="22"/>
              </w:rPr>
            </w:pPr>
            <w:r>
              <w:rPr>
                <w:sz w:val="22"/>
              </w:rPr>
              <w:t>1, 3</w:t>
            </w:r>
          </w:p>
        </w:tc>
      </w:tr>
      <w:tr w:rsidR="007A3C59" w14:paraId="618CDE6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683A" w14:textId="785BDB9B" w:rsidR="007A3C59" w:rsidRDefault="007A3C59">
            <w:pPr>
              <w:pStyle w:val="TableRow"/>
              <w:rPr>
                <w:sz w:val="22"/>
              </w:rPr>
            </w:pPr>
            <w:r>
              <w:rPr>
                <w:sz w:val="22"/>
              </w:rPr>
              <w:t>RWI online subscription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1091F" w14:textId="655D1A66" w:rsidR="002476A6" w:rsidRPr="002476A6" w:rsidRDefault="002476A6" w:rsidP="002476A6">
            <w:pPr>
              <w:pStyle w:val="NormalWeb"/>
              <w:pBdr>
                <w:top w:val="single" w:sz="2" w:space="0" w:color="auto"/>
                <w:left w:val="single" w:sz="2" w:space="0" w:color="auto"/>
                <w:bottom w:val="single" w:sz="2" w:space="0" w:color="auto"/>
                <w:right w:val="single" w:sz="2" w:space="0" w:color="auto"/>
              </w:pBdr>
              <w:shd w:val="clear" w:color="auto" w:fill="FAFAFA"/>
              <w:spacing w:before="0" w:beforeAutospacing="0" w:after="0" w:afterAutospacing="0"/>
              <w:rPr>
                <w:rFonts w:ascii="Helvetica" w:hAnsi="Helvetica" w:cs="Helvetica"/>
                <w:sz w:val="20"/>
                <w:szCs w:val="20"/>
              </w:rPr>
            </w:pPr>
            <w:r>
              <w:rPr>
                <w:rFonts w:ascii="Helvetica" w:hAnsi="Helvetica" w:cs="Helvetica"/>
                <w:sz w:val="20"/>
                <w:szCs w:val="20"/>
              </w:rPr>
              <w:t>There is a strong evidence base that p</w:t>
            </w:r>
            <w:r w:rsidRPr="002476A6">
              <w:rPr>
                <w:rFonts w:ascii="Helvetica" w:hAnsi="Helvetica" w:cs="Helvetica"/>
                <w:sz w:val="20"/>
                <w:szCs w:val="20"/>
              </w:rPr>
              <w:t>honics has a positive impact overall (+5 months) with very extensive evidence and is an important component in the development of early reading skills, particularly for children from disadvantaged backgrounds.</w:t>
            </w:r>
          </w:p>
          <w:p w14:paraId="2727DE54" w14:textId="77777777" w:rsidR="002476A6" w:rsidRPr="002476A6" w:rsidRDefault="002476A6" w:rsidP="002476A6">
            <w:pPr>
              <w:pStyle w:val="NormalWeb"/>
              <w:pBdr>
                <w:top w:val="single" w:sz="2" w:space="0" w:color="auto"/>
                <w:left w:val="single" w:sz="2" w:space="0" w:color="auto"/>
                <w:bottom w:val="single" w:sz="2" w:space="0" w:color="auto"/>
                <w:right w:val="single" w:sz="2" w:space="0" w:color="auto"/>
              </w:pBdr>
              <w:shd w:val="clear" w:color="auto" w:fill="FAFAFA"/>
              <w:spacing w:before="0" w:beforeAutospacing="0" w:after="0" w:afterAutospacing="0"/>
              <w:rPr>
                <w:rFonts w:ascii="Helvetica" w:hAnsi="Helvetica" w:cs="Helvetica"/>
                <w:sz w:val="20"/>
                <w:szCs w:val="20"/>
              </w:rPr>
            </w:pPr>
            <w:r w:rsidRPr="002476A6">
              <w:rPr>
                <w:rFonts w:ascii="Helvetica" w:hAnsi="Helvetica" w:cs="Helvetica"/>
                <w:sz w:val="20"/>
                <w:szCs w:val="20"/>
              </w:rPr>
              <w:t>2. The teaching of phonics should be explicit and systematic to support children in making connections between the sound patterns they hear in words and the way that these words are written.</w:t>
            </w:r>
          </w:p>
          <w:p w14:paraId="3F88FDEE" w14:textId="77777777" w:rsidR="002476A6" w:rsidRPr="002476A6" w:rsidRDefault="002476A6" w:rsidP="002476A6">
            <w:pPr>
              <w:pStyle w:val="NormalWeb"/>
              <w:pBdr>
                <w:top w:val="single" w:sz="2" w:space="0" w:color="auto"/>
                <w:left w:val="single" w:sz="2" w:space="0" w:color="auto"/>
                <w:bottom w:val="single" w:sz="2" w:space="0" w:color="auto"/>
                <w:right w:val="single" w:sz="2" w:space="0" w:color="auto"/>
              </w:pBdr>
              <w:shd w:val="clear" w:color="auto" w:fill="FAFAFA"/>
              <w:spacing w:before="0" w:beforeAutospacing="0" w:after="0" w:afterAutospacing="0"/>
              <w:rPr>
                <w:rFonts w:ascii="Helvetica" w:hAnsi="Helvetica" w:cs="Helvetica"/>
                <w:sz w:val="20"/>
                <w:szCs w:val="20"/>
              </w:rPr>
            </w:pPr>
            <w:r w:rsidRPr="002476A6">
              <w:rPr>
                <w:rFonts w:ascii="Helvetica" w:hAnsi="Helvetica" w:cs="Helvetica"/>
                <w:sz w:val="20"/>
                <w:szCs w:val="20"/>
              </w:rPr>
              <w:t>3. The teaching of phonics should be matched to children’s current level of skill in terms of their phonemic awareness and their knowledge of letter sounds and patterns (graphemes).</w:t>
            </w:r>
          </w:p>
          <w:p w14:paraId="6B4FE08E" w14:textId="6724DEFB" w:rsidR="007A3C59" w:rsidRDefault="00C02EA8">
            <w:pPr>
              <w:pStyle w:val="TableRowCentered"/>
              <w:jc w:val="left"/>
              <w:rPr>
                <w:color w:val="auto"/>
                <w:sz w:val="22"/>
              </w:rPr>
            </w:pPr>
            <w:hyperlink r:id="rId10" w:history="1">
              <w:r w:rsidR="002476A6" w:rsidRPr="00532CFA">
                <w:rPr>
                  <w:rStyle w:val="Hyperlink"/>
                  <w:sz w:val="22"/>
                </w:rPr>
                <w:t>https://educationendowmentfoundation.org.uk/education-evidence/teaching-learning-toolkit/phonics</w:t>
              </w:r>
            </w:hyperlink>
          </w:p>
          <w:p w14:paraId="24666BCA" w14:textId="4DA919CE" w:rsidR="002476A6" w:rsidRPr="002476A6" w:rsidRDefault="002476A6">
            <w:pPr>
              <w:pStyle w:val="TableRowCentered"/>
              <w:jc w:val="left"/>
              <w:rPr>
                <w:color w:val="auto"/>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DB75" w14:textId="498FB489" w:rsidR="007A3C59" w:rsidRDefault="00695894">
            <w:pPr>
              <w:pStyle w:val="TableRowCentered"/>
              <w:jc w:val="left"/>
              <w:rPr>
                <w:sz w:val="22"/>
              </w:rPr>
            </w:pPr>
            <w:r>
              <w:rPr>
                <w:sz w:val="22"/>
              </w:rPr>
              <w:lastRenderedPageBreak/>
              <w:t>1, 3, 6</w:t>
            </w:r>
          </w:p>
        </w:tc>
      </w:tr>
    </w:tbl>
    <w:p w14:paraId="2A7D5522" w14:textId="77777777" w:rsidR="00E66558" w:rsidRDefault="00E66558">
      <w:pPr>
        <w:keepNext/>
        <w:spacing w:after="60"/>
        <w:outlineLvl w:val="1"/>
      </w:pPr>
    </w:p>
    <w:p w14:paraId="2A7D5523" w14:textId="1DC08891" w:rsidR="00E66558" w:rsidRPr="006452B1" w:rsidRDefault="009D71E8">
      <w:pPr>
        <w:rPr>
          <w:b/>
          <w:bCs/>
          <w:color w:val="3E762A" w:themeColor="accent1" w:themeShade="BF"/>
          <w:sz w:val="28"/>
          <w:szCs w:val="28"/>
        </w:rPr>
      </w:pPr>
      <w:r w:rsidRPr="006452B1">
        <w:rPr>
          <w:b/>
          <w:bCs/>
          <w:color w:val="3E762A" w:themeColor="accent1" w:themeShade="BF"/>
          <w:sz w:val="28"/>
          <w:szCs w:val="28"/>
        </w:rPr>
        <w:t xml:space="preserve">Targeted academic support (for example, </w:t>
      </w:r>
      <w:r w:rsidR="00D33FE5" w:rsidRPr="006452B1">
        <w:rPr>
          <w:b/>
          <w:bCs/>
          <w:color w:val="3E762A" w:themeColor="accent1" w:themeShade="BF"/>
          <w:sz w:val="28"/>
          <w:szCs w:val="28"/>
        </w:rPr>
        <w:t xml:space="preserve">tutoring, one-to-one support </w:t>
      </w:r>
      <w:r w:rsidRPr="006452B1">
        <w:rPr>
          <w:b/>
          <w:bCs/>
          <w:color w:val="3E762A" w:themeColor="accent1" w:themeShade="BF"/>
          <w:sz w:val="28"/>
          <w:szCs w:val="28"/>
        </w:rPr>
        <w:t xml:space="preserve">structured interventions) </w:t>
      </w:r>
    </w:p>
    <w:p w14:paraId="2A7D5524" w14:textId="393BE36F" w:rsidR="00E66558" w:rsidRDefault="009D71E8">
      <w:r>
        <w:t xml:space="preserve">Budgeted cost: £ </w:t>
      </w:r>
      <w:r w:rsidR="00172C10">
        <w:t>25,</w:t>
      </w:r>
      <w:r w:rsidR="00D35F5D">
        <w:t>000</w:t>
      </w:r>
    </w:p>
    <w:tbl>
      <w:tblPr>
        <w:tblW w:w="5000" w:type="pct"/>
        <w:tblCellMar>
          <w:left w:w="10" w:type="dxa"/>
          <w:right w:w="10" w:type="dxa"/>
        </w:tblCellMar>
        <w:tblLook w:val="04A0" w:firstRow="1" w:lastRow="0" w:firstColumn="1" w:lastColumn="0" w:noHBand="0" w:noVBand="1"/>
      </w:tblPr>
      <w:tblGrid>
        <w:gridCol w:w="2047"/>
        <w:gridCol w:w="10511"/>
        <w:gridCol w:w="2002"/>
      </w:tblGrid>
      <w:tr w:rsidR="00E66558" w14:paraId="2A7D5528" w14:textId="77777777" w:rsidTr="006452B1">
        <w:tc>
          <w:tcPr>
            <w:tcW w:w="2688"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4D6F0A3" w:rsidR="00E66558" w:rsidRDefault="00583FB1">
            <w:pPr>
              <w:pStyle w:val="TableRow"/>
              <w:rPr>
                <w:i/>
                <w:sz w:val="22"/>
              </w:rPr>
            </w:pPr>
            <w:r>
              <w:rPr>
                <w:i/>
                <w:sz w:val="22"/>
              </w:rPr>
              <w:t>Tutoring</w:t>
            </w:r>
            <w:r w:rsidR="00172C10">
              <w:rPr>
                <w:i/>
                <w:sz w:val="22"/>
              </w:rPr>
              <w:t xml:space="preserve"> small group teaching TA led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1D5B0" w14:textId="1D79049A" w:rsidR="00E66558" w:rsidRPr="00EA56F0" w:rsidRDefault="00131B89">
            <w:pPr>
              <w:pStyle w:val="TableRowCentered"/>
              <w:jc w:val="left"/>
              <w:rPr>
                <w:rFonts w:ascii="Helvetica" w:hAnsi="Helvetica" w:cs="Helvetica"/>
                <w:color w:val="263238"/>
                <w:sz w:val="18"/>
                <w:szCs w:val="18"/>
                <w:shd w:val="clear" w:color="auto" w:fill="FFFFFF"/>
              </w:rPr>
            </w:pPr>
            <w:r w:rsidRPr="00EA56F0">
              <w:rPr>
                <w:rFonts w:ascii="Helvetica" w:hAnsi="Helvetica" w:cs="Helvetica"/>
                <w:color w:val="263238"/>
                <w:sz w:val="18"/>
                <w:szCs w:val="18"/>
                <w:shd w:val="clear" w:color="auto" w:fill="FFFFFF"/>
              </w:rPr>
              <w:t>Small group teaching enables the teaching to focus exclusively on a small number of learners, usually in a separate classroom or working area. </w:t>
            </w:r>
            <w:r w:rsidR="00EA56F0" w:rsidRPr="00EA56F0">
              <w:rPr>
                <w:rFonts w:ascii="Helvetica" w:hAnsi="Helvetica" w:cs="Helvetica"/>
                <w:color w:val="263238"/>
                <w:sz w:val="18"/>
                <w:szCs w:val="18"/>
                <w:shd w:val="clear" w:color="auto" w:fill="FFFFFF"/>
              </w:rPr>
              <w:t>There is a strong evidence base to suggest that it has a positive impact on pupil outcomes.</w:t>
            </w:r>
          </w:p>
          <w:p w14:paraId="5815DE07" w14:textId="4DD0ADBF" w:rsidR="00131B89" w:rsidRDefault="00C02EA8">
            <w:pPr>
              <w:pStyle w:val="TableRowCentered"/>
              <w:jc w:val="left"/>
              <w:rPr>
                <w:sz w:val="22"/>
              </w:rPr>
            </w:pPr>
            <w:hyperlink r:id="rId11" w:history="1">
              <w:r w:rsidR="00131B89" w:rsidRPr="00532CFA">
                <w:rPr>
                  <w:rStyle w:val="Hyperlink"/>
                  <w:sz w:val="22"/>
                </w:rPr>
                <w:t>https://educationendowmentfoundation.org.uk/education-evidence/teaching-learning-toolkit/small-group-tuition</w:t>
              </w:r>
            </w:hyperlink>
          </w:p>
          <w:p w14:paraId="2A7D552E" w14:textId="0B019DF8" w:rsidR="00131B89" w:rsidRDefault="00131B8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9F7DC75" w:rsidR="00E66558" w:rsidRDefault="00564130">
            <w:pPr>
              <w:pStyle w:val="TableRowCentered"/>
              <w:jc w:val="left"/>
              <w:rPr>
                <w:sz w:val="22"/>
              </w:rPr>
            </w:pPr>
            <w:r>
              <w:rPr>
                <w:sz w:val="22"/>
              </w:rPr>
              <w:t>1, 3</w:t>
            </w:r>
          </w:p>
        </w:tc>
      </w:tr>
      <w:tr w:rsidR="00583FB1" w14:paraId="17383B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8713" w14:textId="7B09F668" w:rsidR="00583FB1" w:rsidRDefault="00583FB1">
            <w:pPr>
              <w:pStyle w:val="TableRow"/>
              <w:rPr>
                <w:i/>
                <w:sz w:val="22"/>
              </w:rPr>
            </w:pPr>
            <w:proofErr w:type="spellStart"/>
            <w:r>
              <w:rPr>
                <w:i/>
                <w:sz w:val="22"/>
              </w:rPr>
              <w:t>Pixl</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B521" w14:textId="31ADA82F" w:rsidR="00583FB1" w:rsidRDefault="00046748">
            <w:pPr>
              <w:pStyle w:val="TableRowCentered"/>
              <w:jc w:val="left"/>
              <w:rPr>
                <w:sz w:val="22"/>
              </w:rPr>
            </w:pPr>
            <w:proofErr w:type="spellStart"/>
            <w:r>
              <w:rPr>
                <w:sz w:val="22"/>
              </w:rPr>
              <w:t>Pixl</w:t>
            </w:r>
            <w:proofErr w:type="spellEnd"/>
            <w:r>
              <w:rPr>
                <w:sz w:val="22"/>
              </w:rPr>
              <w:t xml:space="preserve"> offers a range of CPD events for teachers and leaders, termly meetings and support to improve pupil outcomes with a </w:t>
            </w:r>
            <w:proofErr w:type="spellStart"/>
            <w:r>
              <w:rPr>
                <w:sz w:val="22"/>
              </w:rPr>
              <w:t>pixl</w:t>
            </w:r>
            <w:proofErr w:type="spellEnd"/>
            <w:r>
              <w:rPr>
                <w:sz w:val="22"/>
              </w:rPr>
              <w:t xml:space="preserve"> associate and a range of diagnostic assessments with resources that can be used in small group tutoring or to support whole class learning. Many of the strategies used match approaches that are recognised, through research to have a positive impact on </w:t>
            </w:r>
            <w:proofErr w:type="gramStart"/>
            <w:r>
              <w:rPr>
                <w:sz w:val="22"/>
              </w:rPr>
              <w:t>pupils</w:t>
            </w:r>
            <w:proofErr w:type="gramEnd"/>
            <w:r>
              <w:rPr>
                <w:sz w:val="22"/>
              </w:rPr>
              <w:t xml:space="preserve">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E6291" w14:textId="15C7881D" w:rsidR="00583FB1" w:rsidRDefault="00564130">
            <w:pPr>
              <w:pStyle w:val="TableRowCentered"/>
              <w:jc w:val="left"/>
              <w:rPr>
                <w:sz w:val="22"/>
              </w:rPr>
            </w:pPr>
            <w:r>
              <w:rPr>
                <w:sz w:val="22"/>
              </w:rPr>
              <w:t>1, 3, 6</w:t>
            </w:r>
          </w:p>
        </w:tc>
      </w:tr>
      <w:tr w:rsidR="00583FB1" w14:paraId="25C7DD1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39C3" w14:textId="3021536E" w:rsidR="00583FB1" w:rsidRDefault="00583FB1">
            <w:pPr>
              <w:pStyle w:val="TableRow"/>
              <w:rPr>
                <w:i/>
                <w:sz w:val="22"/>
              </w:rPr>
            </w:pPr>
            <w:proofErr w:type="spellStart"/>
            <w:r>
              <w:rPr>
                <w:i/>
                <w:sz w:val="22"/>
              </w:rPr>
              <w:t>Accelarated</w:t>
            </w:r>
            <w:proofErr w:type="spellEnd"/>
            <w:r>
              <w:rPr>
                <w:i/>
                <w:sz w:val="22"/>
              </w:rPr>
              <w:t xml:space="preserve"> reader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D783F" w14:textId="376EA0ED" w:rsidR="00EA56F0" w:rsidRDefault="00EA56F0">
            <w:pPr>
              <w:pStyle w:val="TableRowCentered"/>
              <w:jc w:val="left"/>
              <w:rPr>
                <w:sz w:val="22"/>
              </w:rPr>
            </w:pPr>
            <w:r>
              <w:rPr>
                <w:sz w:val="22"/>
              </w:rPr>
              <w:t>There is strong evidence to suggest that reading comprehension strategies have a positive impact on outcomes in reading.</w:t>
            </w:r>
          </w:p>
          <w:p w14:paraId="0CA2CCE1" w14:textId="7FA78BDC" w:rsidR="00583FB1" w:rsidRDefault="00C02EA8">
            <w:pPr>
              <w:pStyle w:val="TableRowCentered"/>
              <w:jc w:val="left"/>
              <w:rPr>
                <w:sz w:val="22"/>
              </w:rPr>
            </w:pPr>
            <w:hyperlink r:id="rId12" w:history="1">
              <w:r w:rsidR="00EA56F0" w:rsidRPr="00532CFA">
                <w:rPr>
                  <w:rStyle w:val="Hyperlink"/>
                  <w:sz w:val="22"/>
                </w:rPr>
                <w:t>https://educationendowmentfoundation.org.uk/education-evidence/teaching-learning-toolkit/reading-comprehension-strategies?utm_source=/education-evidence/teaching-learning-toolkit/reading-comprehension-strategies&amp;utm_medium=search&amp;utm_campaign=site_search&amp;search_term=reading%20comprehension</w:t>
              </w:r>
            </w:hyperlink>
          </w:p>
          <w:p w14:paraId="019BC5E2" w14:textId="46718908" w:rsidR="00EA56F0" w:rsidRDefault="00EA56F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32FC" w14:textId="12D045E1" w:rsidR="00583FB1" w:rsidRDefault="00564130">
            <w:pPr>
              <w:pStyle w:val="TableRowCentered"/>
              <w:jc w:val="left"/>
              <w:rPr>
                <w:sz w:val="22"/>
              </w:rPr>
            </w:pPr>
            <w:r>
              <w:rPr>
                <w:sz w:val="22"/>
              </w:rPr>
              <w:t>1, 3, 6</w:t>
            </w:r>
          </w:p>
        </w:tc>
      </w:tr>
      <w:tr w:rsidR="00583FB1" w14:paraId="23051F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AA8FE" w14:textId="09849D69" w:rsidR="00583FB1" w:rsidRDefault="003809FE">
            <w:pPr>
              <w:pStyle w:val="TableRow"/>
              <w:rPr>
                <w:i/>
                <w:sz w:val="22"/>
              </w:rPr>
            </w:pPr>
            <w:r>
              <w:rPr>
                <w:i/>
                <w:sz w:val="22"/>
              </w:rPr>
              <w:t xml:space="preserve">1 -1 tutoring through </w:t>
            </w:r>
            <w:r w:rsidR="00583FB1">
              <w:rPr>
                <w:i/>
                <w:sz w:val="22"/>
              </w:rPr>
              <w:t>3</w:t>
            </w:r>
            <w:r w:rsidR="00583FB1" w:rsidRPr="00583FB1">
              <w:rPr>
                <w:i/>
                <w:sz w:val="22"/>
                <w:vertAlign w:val="superscript"/>
              </w:rPr>
              <w:t>rd</w:t>
            </w:r>
            <w:r w:rsidR="00583FB1">
              <w:rPr>
                <w:i/>
                <w:sz w:val="22"/>
              </w:rPr>
              <w:t xml:space="preserve"> space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03F8" w14:textId="3309725B" w:rsidR="002476A6" w:rsidRDefault="002476A6">
            <w:pPr>
              <w:pStyle w:val="TableRowCentered"/>
              <w:jc w:val="left"/>
              <w:rPr>
                <w:sz w:val="22"/>
              </w:rPr>
            </w:pPr>
            <w:r>
              <w:rPr>
                <w:sz w:val="22"/>
              </w:rPr>
              <w:t xml:space="preserve">There is a strong evidence base that </w:t>
            </w:r>
            <w:proofErr w:type="gramStart"/>
            <w:r>
              <w:rPr>
                <w:sz w:val="22"/>
              </w:rPr>
              <w:t>one to one</w:t>
            </w:r>
            <w:proofErr w:type="gramEnd"/>
            <w:r>
              <w:rPr>
                <w:sz w:val="22"/>
              </w:rPr>
              <w:t xml:space="preserve"> tuition has a positive impact of outcomes. Pupils receive online 1 to 1 maths </w:t>
            </w:r>
            <w:proofErr w:type="gramStart"/>
            <w:r>
              <w:rPr>
                <w:sz w:val="22"/>
              </w:rPr>
              <w:t>tuition .</w:t>
            </w:r>
            <w:proofErr w:type="gramEnd"/>
          </w:p>
          <w:p w14:paraId="2C9E8424" w14:textId="3E3BCF3C" w:rsidR="00583FB1" w:rsidRDefault="00C02EA8">
            <w:pPr>
              <w:pStyle w:val="TableRowCentered"/>
              <w:jc w:val="left"/>
              <w:rPr>
                <w:sz w:val="22"/>
              </w:rPr>
            </w:pPr>
            <w:hyperlink r:id="rId13" w:history="1">
              <w:r w:rsidR="002476A6" w:rsidRPr="00532CFA">
                <w:rPr>
                  <w:rStyle w:val="Hyperlink"/>
                  <w:sz w:val="22"/>
                </w:rPr>
                <w:t>https://educationendowmentfoundation.org.uk/education-evidence/teaching-learning-toolkit/one-to-one-tuition</w:t>
              </w:r>
            </w:hyperlink>
          </w:p>
          <w:p w14:paraId="14B21ABA" w14:textId="37E6CEF6" w:rsidR="002476A6" w:rsidRDefault="002476A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80E31" w14:textId="6130304D" w:rsidR="00583FB1" w:rsidRDefault="00564130">
            <w:pPr>
              <w:pStyle w:val="TableRowCentered"/>
              <w:jc w:val="left"/>
              <w:rPr>
                <w:sz w:val="22"/>
              </w:rPr>
            </w:pPr>
            <w:r>
              <w:rPr>
                <w:sz w:val="22"/>
              </w:rPr>
              <w:t>1</w:t>
            </w:r>
          </w:p>
        </w:tc>
      </w:tr>
      <w:tr w:rsidR="007A3C59" w14:paraId="2BE510A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E259D" w14:textId="53170327" w:rsidR="007A3C59" w:rsidRDefault="007A3C59">
            <w:pPr>
              <w:pStyle w:val="TableRow"/>
              <w:rPr>
                <w:i/>
                <w:sz w:val="22"/>
              </w:rPr>
            </w:pPr>
            <w:r>
              <w:rPr>
                <w:i/>
                <w:sz w:val="22"/>
              </w:rPr>
              <w:lastRenderedPageBreak/>
              <w:t>Kahoot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BC79" w14:textId="0AB3D057" w:rsidR="00046748" w:rsidRDefault="00046748">
            <w:pPr>
              <w:pStyle w:val="TableRowCentered"/>
              <w:jc w:val="left"/>
              <w:rPr>
                <w:sz w:val="22"/>
              </w:rPr>
            </w:pPr>
            <w:proofErr w:type="spellStart"/>
            <w:r>
              <w:rPr>
                <w:sz w:val="22"/>
              </w:rPr>
              <w:t>Reasearch</w:t>
            </w:r>
            <w:proofErr w:type="spellEnd"/>
            <w:r>
              <w:rPr>
                <w:sz w:val="22"/>
              </w:rPr>
              <w:t xml:space="preserve"> indicates that low stakes assessment such as quizzes has a positive impact on outcomes for pupils.</w:t>
            </w:r>
          </w:p>
          <w:p w14:paraId="63A41D74" w14:textId="300A0000" w:rsidR="007A3C59" w:rsidRDefault="00C02EA8">
            <w:pPr>
              <w:pStyle w:val="TableRowCentered"/>
              <w:jc w:val="left"/>
              <w:rPr>
                <w:sz w:val="22"/>
              </w:rPr>
            </w:pPr>
            <w:hyperlink r:id="rId14" w:history="1">
              <w:r w:rsidR="00046748" w:rsidRPr="00532CFA">
                <w:rPr>
                  <w:rStyle w:val="Hyperlink"/>
                  <w:sz w:val="22"/>
                </w:rPr>
                <w:t>https://ukedchat.com/2020/03/16/low-stakes-testing/</w:t>
              </w:r>
            </w:hyperlink>
          </w:p>
          <w:p w14:paraId="2185AC43" w14:textId="6D3D4C46" w:rsidR="00046748" w:rsidRDefault="0004674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E50F8" w14:textId="2FC35BAB" w:rsidR="007A3C59" w:rsidRDefault="00564130">
            <w:pPr>
              <w:pStyle w:val="TableRowCentered"/>
              <w:jc w:val="left"/>
              <w:rPr>
                <w:sz w:val="22"/>
              </w:rPr>
            </w:pPr>
            <w:r>
              <w:rPr>
                <w:sz w:val="22"/>
              </w:rPr>
              <w:t>1,3</w:t>
            </w:r>
          </w:p>
        </w:tc>
      </w:tr>
      <w:tr w:rsidR="003809FE" w14:paraId="029FED8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635C" w14:textId="57EE9580" w:rsidR="003809FE" w:rsidRDefault="003809FE">
            <w:pPr>
              <w:pStyle w:val="TableRow"/>
              <w:rPr>
                <w:i/>
                <w:sz w:val="22"/>
              </w:rPr>
            </w:pPr>
            <w:r>
              <w:rPr>
                <w:i/>
                <w:sz w:val="22"/>
              </w:rPr>
              <w:t>NELI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A4731" w14:textId="109952F3" w:rsidR="002476A6" w:rsidRDefault="002476A6">
            <w:pPr>
              <w:pStyle w:val="TableRowCentered"/>
              <w:jc w:val="left"/>
              <w:rPr>
                <w:rFonts w:ascii="Helvetica" w:hAnsi="Helvetica" w:cs="Helvetica"/>
                <w:color w:val="263238"/>
                <w:sz w:val="18"/>
                <w:szCs w:val="18"/>
                <w:shd w:val="clear" w:color="auto" w:fill="FFFFFF"/>
              </w:rPr>
            </w:pPr>
            <w:r w:rsidRPr="002476A6">
              <w:rPr>
                <w:rFonts w:ascii="Helvetica" w:hAnsi="Helvetica" w:cs="Helvetica"/>
                <w:color w:val="263238"/>
                <w:sz w:val="18"/>
                <w:szCs w:val="18"/>
                <w:shd w:val="clear" w:color="auto" w:fill="FFFFFF"/>
              </w:rPr>
              <w:t xml:space="preserve">The </w:t>
            </w:r>
            <w:proofErr w:type="gramStart"/>
            <w:r w:rsidRPr="002476A6">
              <w:rPr>
                <w:rFonts w:ascii="Helvetica" w:hAnsi="Helvetica" w:cs="Helvetica"/>
                <w:color w:val="263238"/>
                <w:sz w:val="18"/>
                <w:szCs w:val="18"/>
                <w:shd w:val="clear" w:color="auto" w:fill="FFFFFF"/>
              </w:rPr>
              <w:t>Reception</w:t>
            </w:r>
            <w:proofErr w:type="gramEnd"/>
            <w:r w:rsidRPr="002476A6">
              <w:rPr>
                <w:rFonts w:ascii="Helvetica" w:hAnsi="Helvetica" w:cs="Helvetica"/>
                <w:color w:val="263238"/>
                <w:sz w:val="18"/>
                <w:szCs w:val="18"/>
                <w:shd w:val="clear" w:color="auto" w:fill="FFFFFF"/>
              </w:rPr>
              <w:t xml:space="preserve"> (aged 4 – 5) Nuffield Early Language Intervention Programme (NELI), has been shown to improve children’s oral language and early literacy skills, including in two robust EEF trials.</w:t>
            </w:r>
          </w:p>
          <w:p w14:paraId="650FFCCE" w14:textId="77777777" w:rsidR="002476A6" w:rsidRPr="002476A6" w:rsidRDefault="002476A6">
            <w:pPr>
              <w:pStyle w:val="TableRowCentered"/>
              <w:jc w:val="left"/>
              <w:rPr>
                <w:sz w:val="18"/>
                <w:szCs w:val="18"/>
              </w:rPr>
            </w:pPr>
          </w:p>
          <w:p w14:paraId="1ACA54D9" w14:textId="42A097BF" w:rsidR="003809FE" w:rsidRDefault="002476A6">
            <w:pPr>
              <w:pStyle w:val="TableRowCentered"/>
              <w:jc w:val="left"/>
              <w:rPr>
                <w:sz w:val="22"/>
              </w:rPr>
            </w:pPr>
            <w:r>
              <w:rPr>
                <w:sz w:val="22"/>
              </w:rPr>
              <w:t xml:space="preserve">There is strong evidence that oral language interventions have a positive impact on outcomes for pupils. </w:t>
            </w:r>
          </w:p>
          <w:p w14:paraId="7F25D40A" w14:textId="033AE1CB" w:rsidR="002476A6" w:rsidRDefault="00C02EA8">
            <w:pPr>
              <w:pStyle w:val="TableRowCentered"/>
              <w:jc w:val="left"/>
              <w:rPr>
                <w:sz w:val="22"/>
              </w:rPr>
            </w:pPr>
            <w:hyperlink r:id="rId15" w:history="1">
              <w:r w:rsidR="002476A6" w:rsidRPr="00532CFA">
                <w:rPr>
                  <w:rStyle w:val="Hyperlink"/>
                  <w:sz w:val="22"/>
                </w:rPr>
                <w:t>https://educationendowmentfoundation.org.uk/education-evidence/teaching-learning-toolkit/oral-language-interventions</w:t>
              </w:r>
            </w:hyperlink>
          </w:p>
          <w:p w14:paraId="15C09C70" w14:textId="16EC37D0" w:rsidR="002476A6" w:rsidRDefault="002476A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E35BA" w14:textId="41C5C872" w:rsidR="003809FE" w:rsidRDefault="00564130">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Pr="006452B1" w:rsidRDefault="009D71E8">
      <w:pPr>
        <w:rPr>
          <w:b/>
          <w:color w:val="3E762A" w:themeColor="accent1" w:themeShade="BF"/>
          <w:sz w:val="28"/>
          <w:szCs w:val="28"/>
        </w:rPr>
      </w:pPr>
      <w:r w:rsidRPr="006452B1">
        <w:rPr>
          <w:b/>
          <w:color w:val="3E762A" w:themeColor="accent1" w:themeShade="BF"/>
          <w:sz w:val="28"/>
          <w:szCs w:val="28"/>
        </w:rPr>
        <w:t>Wider strategies (for example, related to attendance, behaviour, wellbeing)</w:t>
      </w:r>
    </w:p>
    <w:p w14:paraId="2A7D5533" w14:textId="50356DA6" w:rsidR="00E66558" w:rsidRPr="003809FE" w:rsidRDefault="009D71E8">
      <w:pPr>
        <w:spacing w:before="240" w:after="120"/>
      </w:pPr>
      <w:r>
        <w:t xml:space="preserve">Budgeted cost: £ </w:t>
      </w:r>
      <w:r w:rsidR="00E16E8B">
        <w:t>114,955</w:t>
      </w:r>
    </w:p>
    <w:tbl>
      <w:tblPr>
        <w:tblW w:w="5604" w:type="pct"/>
        <w:tblInd w:w="-714" w:type="dxa"/>
        <w:tblLayout w:type="fixed"/>
        <w:tblCellMar>
          <w:left w:w="10" w:type="dxa"/>
          <w:right w:w="10" w:type="dxa"/>
        </w:tblCellMar>
        <w:tblLook w:val="04A0" w:firstRow="1" w:lastRow="0" w:firstColumn="1" w:lastColumn="0" w:noHBand="0" w:noVBand="1"/>
      </w:tblPr>
      <w:tblGrid>
        <w:gridCol w:w="3047"/>
        <w:gridCol w:w="10982"/>
        <w:gridCol w:w="2290"/>
      </w:tblGrid>
      <w:tr w:rsidR="00E66558" w14:paraId="2A7D5537" w14:textId="77777777" w:rsidTr="00131B89">
        <w:tc>
          <w:tcPr>
            <w:tcW w:w="1985"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34" w14:textId="77777777" w:rsidR="00E66558" w:rsidRDefault="009D71E8">
            <w:pPr>
              <w:pStyle w:val="TableHeader"/>
              <w:jc w:val="left"/>
            </w:pPr>
            <w:r>
              <w:t>Activity</w:t>
            </w:r>
          </w:p>
        </w:tc>
        <w:tc>
          <w:tcPr>
            <w:tcW w:w="7155"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92"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131B8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C952282" w:rsidR="00E66558" w:rsidRDefault="00583FB1">
            <w:pPr>
              <w:pStyle w:val="TableRow"/>
              <w:rPr>
                <w:i/>
                <w:sz w:val="22"/>
              </w:rPr>
            </w:pPr>
            <w:r>
              <w:rPr>
                <w:i/>
                <w:sz w:val="22"/>
              </w:rPr>
              <w:t>Attendance</w:t>
            </w:r>
          </w:p>
        </w:tc>
        <w:tc>
          <w:tcPr>
            <w:tcW w:w="7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8E698EA" w:rsidR="00046748" w:rsidRDefault="00046748" w:rsidP="00046748">
            <w:pPr>
              <w:pStyle w:val="TableRowCentered"/>
              <w:jc w:val="left"/>
              <w:rPr>
                <w:sz w:val="22"/>
              </w:rPr>
            </w:pPr>
            <w:r w:rsidRPr="00852379">
              <w:rPr>
                <w:rFonts w:cs="Arial"/>
                <w:color w:val="202124"/>
                <w:sz w:val="20"/>
                <w:shd w:val="clear" w:color="auto" w:fill="FFFFFF"/>
              </w:rPr>
              <w:t>Poor attendance can affect </w:t>
            </w:r>
            <w:r w:rsidRPr="00852379">
              <w:rPr>
                <w:rFonts w:cs="Arial"/>
                <w:b/>
                <w:bCs/>
                <w:color w:val="202124"/>
                <w:sz w:val="20"/>
                <w:shd w:val="clear" w:color="auto" w:fill="FFFFFF"/>
              </w:rPr>
              <w:t>children's ability to make and keep friendships</w:t>
            </w:r>
            <w:r w:rsidRPr="00852379">
              <w:rPr>
                <w:rFonts w:cs="Arial"/>
                <w:color w:val="202124"/>
                <w:sz w:val="20"/>
                <w:shd w:val="clear" w:color="auto" w:fill="FFFFFF"/>
              </w:rPr>
              <w:t>; a vital part of growing up. ... In primary schools less than 65% of children achieve good results in English and Maths with an average of 15 days absence a year compared to almost 90% where the average is less than 8 days</w:t>
            </w:r>
            <w:r>
              <w:rPr>
                <w:rFonts w:cs="Arial"/>
                <w:color w:val="202124"/>
                <w:shd w:val="clear" w:color="auto" w:fill="FFFFFF"/>
              </w:rPr>
              <w:t>.</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F37E96C" w:rsidR="00E66558" w:rsidRDefault="00564130">
            <w:pPr>
              <w:pStyle w:val="TableRowCentered"/>
              <w:jc w:val="left"/>
              <w:rPr>
                <w:sz w:val="22"/>
              </w:rPr>
            </w:pPr>
            <w:r>
              <w:rPr>
                <w:sz w:val="22"/>
              </w:rPr>
              <w:t>4</w:t>
            </w:r>
          </w:p>
        </w:tc>
      </w:tr>
      <w:tr w:rsidR="00583FB1" w14:paraId="15CDC5BD" w14:textId="77777777" w:rsidTr="00131B8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F66EE" w14:textId="77777777" w:rsidR="00583FB1" w:rsidRDefault="007A3C59">
            <w:pPr>
              <w:pStyle w:val="TableRow"/>
              <w:rPr>
                <w:i/>
                <w:sz w:val="22"/>
              </w:rPr>
            </w:pPr>
            <w:r>
              <w:rPr>
                <w:i/>
                <w:sz w:val="22"/>
              </w:rPr>
              <w:t>Nurture Provision</w:t>
            </w:r>
          </w:p>
          <w:p w14:paraId="278F9B81" w14:textId="77777777" w:rsidR="00C1094A" w:rsidRDefault="00C1094A">
            <w:pPr>
              <w:pStyle w:val="TableRow"/>
              <w:rPr>
                <w:i/>
                <w:sz w:val="22"/>
              </w:rPr>
            </w:pPr>
          </w:p>
          <w:p w14:paraId="58A3747E" w14:textId="24096F67" w:rsidR="00C1094A" w:rsidRPr="00C1094A" w:rsidRDefault="00C1094A">
            <w:pPr>
              <w:pStyle w:val="TableRow"/>
              <w:rPr>
                <w:i/>
                <w:color w:val="FF0000"/>
                <w:sz w:val="22"/>
              </w:rPr>
            </w:pPr>
            <w:r>
              <w:rPr>
                <w:i/>
                <w:color w:val="FF0000"/>
                <w:sz w:val="22"/>
              </w:rPr>
              <w:t xml:space="preserve">NB following review at the end of 2023 </w:t>
            </w:r>
            <w:r w:rsidR="00983DA0">
              <w:rPr>
                <w:i/>
                <w:color w:val="FF0000"/>
                <w:sz w:val="22"/>
              </w:rPr>
              <w:t xml:space="preserve">nurture and nurture plus provision has been </w:t>
            </w:r>
            <w:proofErr w:type="spellStart"/>
            <w:proofErr w:type="gramStart"/>
            <w:r w:rsidR="00983DA0">
              <w:rPr>
                <w:i/>
                <w:color w:val="FF0000"/>
                <w:sz w:val="22"/>
              </w:rPr>
              <w:t>merged.The</w:t>
            </w:r>
            <w:proofErr w:type="spellEnd"/>
            <w:proofErr w:type="gramEnd"/>
            <w:r w:rsidR="00983DA0">
              <w:rPr>
                <w:i/>
                <w:color w:val="FF0000"/>
                <w:sz w:val="22"/>
              </w:rPr>
              <w:t xml:space="preserve"> provision now offers different pathways for pupils with different </w:t>
            </w:r>
            <w:r w:rsidR="000F72E9">
              <w:rPr>
                <w:i/>
                <w:color w:val="FF0000"/>
                <w:sz w:val="22"/>
              </w:rPr>
              <w:t>levels of need.</w:t>
            </w:r>
          </w:p>
        </w:tc>
        <w:tc>
          <w:tcPr>
            <w:tcW w:w="7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4336" w14:textId="12AE427A" w:rsidR="00852379" w:rsidRDefault="00852379">
            <w:pPr>
              <w:pStyle w:val="TableRowCentered"/>
              <w:jc w:val="left"/>
              <w:rPr>
                <w:sz w:val="18"/>
                <w:szCs w:val="18"/>
              </w:rPr>
            </w:pPr>
          </w:p>
          <w:p w14:paraId="42390B4D" w14:textId="195EDF58" w:rsidR="00852379" w:rsidRDefault="00852379">
            <w:pPr>
              <w:pStyle w:val="TableRowCentered"/>
              <w:jc w:val="left"/>
              <w:rPr>
                <w:sz w:val="18"/>
                <w:szCs w:val="18"/>
              </w:rPr>
            </w:pPr>
            <w:r>
              <w:rPr>
                <w:sz w:val="18"/>
                <w:szCs w:val="18"/>
              </w:rPr>
              <w:t>There is a strong body of evidence that suggests that SEL and behaviour interventions can have a positive impact on outcomes for pupils.</w:t>
            </w:r>
          </w:p>
          <w:p w14:paraId="148E5931" w14:textId="518D7FFF" w:rsidR="00131B89" w:rsidRPr="00131B89" w:rsidRDefault="00C02EA8">
            <w:pPr>
              <w:pStyle w:val="TableRowCentered"/>
              <w:jc w:val="left"/>
              <w:rPr>
                <w:sz w:val="18"/>
                <w:szCs w:val="18"/>
              </w:rPr>
            </w:pPr>
            <w:hyperlink r:id="rId16" w:history="1">
              <w:r w:rsidR="00131B89" w:rsidRPr="00131B89">
                <w:rPr>
                  <w:rStyle w:val="Hyperlink"/>
                  <w:sz w:val="18"/>
                  <w:szCs w:val="18"/>
                </w:rPr>
                <w:t>https://assets.publishing.service.gov.uk/government/uploads/system/uploads/attachment_data/file/413531/Report_summary_-_Supporting_children_with_challenging_behaviour_through_a_nurture_group_approach.pdf</w:t>
              </w:r>
            </w:hyperlink>
          </w:p>
          <w:p w14:paraId="6747F52B" w14:textId="77777777" w:rsidR="00131B89" w:rsidRPr="00131B89" w:rsidRDefault="00131B89">
            <w:pPr>
              <w:pStyle w:val="TableRowCentered"/>
              <w:jc w:val="left"/>
              <w:rPr>
                <w:sz w:val="18"/>
                <w:szCs w:val="18"/>
              </w:rPr>
            </w:pPr>
          </w:p>
          <w:p w14:paraId="6DAFC3F6" w14:textId="41271CF2" w:rsidR="00583FB1" w:rsidRPr="00131B89" w:rsidRDefault="00C02EA8">
            <w:pPr>
              <w:pStyle w:val="TableRowCentered"/>
              <w:jc w:val="left"/>
              <w:rPr>
                <w:sz w:val="18"/>
                <w:szCs w:val="18"/>
              </w:rPr>
            </w:pPr>
            <w:hyperlink r:id="rId17" w:history="1">
              <w:r w:rsidR="00564130" w:rsidRPr="00131B89">
                <w:rPr>
                  <w:rStyle w:val="Hyperlink"/>
                  <w:sz w:val="18"/>
                  <w:szCs w:val="18"/>
                </w:rPr>
                <w:t>https://educationendowmentfoundation.org.uk/education-evidence/teaching-learning-toolkit/social-and-emotional-learning</w:t>
              </w:r>
            </w:hyperlink>
          </w:p>
          <w:p w14:paraId="52A2DA58" w14:textId="08D2E5F6" w:rsidR="00564130" w:rsidRPr="00131B89" w:rsidRDefault="00C02EA8">
            <w:pPr>
              <w:pStyle w:val="TableRowCentered"/>
              <w:jc w:val="left"/>
              <w:rPr>
                <w:sz w:val="18"/>
                <w:szCs w:val="18"/>
              </w:rPr>
            </w:pPr>
            <w:hyperlink r:id="rId18" w:history="1">
              <w:r w:rsidR="00564130" w:rsidRPr="00131B89">
                <w:rPr>
                  <w:rStyle w:val="Hyperlink"/>
                  <w:sz w:val="18"/>
                  <w:szCs w:val="18"/>
                </w:rPr>
                <w:t>https://educationendowmentfoundation.org.uk/education-evidence/teaching-learning-toolkit/behaviour-interventions</w:t>
              </w:r>
            </w:hyperlink>
          </w:p>
          <w:p w14:paraId="11B8F891" w14:textId="2A853083" w:rsidR="00564130" w:rsidRPr="00131B89" w:rsidRDefault="00564130">
            <w:pPr>
              <w:pStyle w:val="TableRowCentered"/>
              <w:jc w:val="left"/>
              <w:rPr>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490A5" w14:textId="3C8CE213" w:rsidR="00583FB1" w:rsidRDefault="00564130">
            <w:pPr>
              <w:pStyle w:val="TableRowCentered"/>
              <w:jc w:val="left"/>
              <w:rPr>
                <w:sz w:val="22"/>
              </w:rPr>
            </w:pPr>
            <w:r>
              <w:rPr>
                <w:sz w:val="22"/>
              </w:rPr>
              <w:t>2</w:t>
            </w:r>
          </w:p>
        </w:tc>
      </w:tr>
      <w:tr w:rsidR="007A3C59" w14:paraId="6BC61A7B" w14:textId="77777777" w:rsidTr="00131B8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C7D2" w14:textId="383FBCB1" w:rsidR="007A3C59" w:rsidRDefault="007A3C59">
            <w:pPr>
              <w:pStyle w:val="TableRow"/>
              <w:rPr>
                <w:i/>
                <w:sz w:val="22"/>
              </w:rPr>
            </w:pPr>
            <w:proofErr w:type="gramStart"/>
            <w:r>
              <w:rPr>
                <w:i/>
                <w:sz w:val="22"/>
              </w:rPr>
              <w:lastRenderedPageBreak/>
              <w:t>Nurture  Provision</w:t>
            </w:r>
            <w:proofErr w:type="gramEnd"/>
          </w:p>
        </w:tc>
        <w:tc>
          <w:tcPr>
            <w:tcW w:w="7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FB5DD" w14:textId="77777777" w:rsidR="00852379" w:rsidRDefault="00852379" w:rsidP="00852379">
            <w:pPr>
              <w:pStyle w:val="TableRowCentered"/>
              <w:jc w:val="left"/>
              <w:rPr>
                <w:sz w:val="18"/>
                <w:szCs w:val="18"/>
              </w:rPr>
            </w:pPr>
            <w:r>
              <w:rPr>
                <w:sz w:val="18"/>
                <w:szCs w:val="18"/>
              </w:rPr>
              <w:t>There is a strong body of evidence that suggests that SEL and behaviour interventions can have a positive impact on outcomes for pupils.</w:t>
            </w:r>
          </w:p>
          <w:p w14:paraId="353C2832" w14:textId="77777777" w:rsidR="00852379" w:rsidRDefault="00852379">
            <w:pPr>
              <w:pStyle w:val="TableRowCentered"/>
              <w:jc w:val="left"/>
              <w:rPr>
                <w:sz w:val="22"/>
              </w:rPr>
            </w:pPr>
          </w:p>
          <w:p w14:paraId="2A8FF0EB" w14:textId="0E4CD961" w:rsidR="00131B89" w:rsidRDefault="00C02EA8">
            <w:pPr>
              <w:pStyle w:val="TableRowCentered"/>
              <w:jc w:val="left"/>
              <w:rPr>
                <w:sz w:val="22"/>
              </w:rPr>
            </w:pPr>
            <w:hyperlink r:id="rId19" w:history="1">
              <w:r w:rsidR="00131B89" w:rsidRPr="00532CFA">
                <w:rPr>
                  <w:rStyle w:val="Hyperlink"/>
                  <w:sz w:val="22"/>
                </w:rPr>
                <w:t>https://assets.publishing.service.gov.uk/government/uploads/system/uploads/attachment_data/file/413531/Report_summary_-_Supporting_children_with_challenging_behaviour_through_a_nurture_group_approach.pdf</w:t>
              </w:r>
            </w:hyperlink>
          </w:p>
          <w:p w14:paraId="504A6A97" w14:textId="77777777" w:rsidR="00131B89" w:rsidRDefault="00131B89" w:rsidP="00131B89">
            <w:pPr>
              <w:pStyle w:val="TableRowCentered"/>
              <w:ind w:left="0"/>
              <w:jc w:val="left"/>
              <w:rPr>
                <w:sz w:val="22"/>
              </w:rPr>
            </w:pPr>
          </w:p>
          <w:p w14:paraId="145C9947" w14:textId="34408736" w:rsidR="007A3C59" w:rsidRDefault="00C02EA8">
            <w:pPr>
              <w:pStyle w:val="TableRowCentered"/>
              <w:jc w:val="left"/>
              <w:rPr>
                <w:sz w:val="22"/>
              </w:rPr>
            </w:pPr>
            <w:hyperlink r:id="rId20" w:history="1">
              <w:r w:rsidR="00564130" w:rsidRPr="00532CFA">
                <w:rPr>
                  <w:rStyle w:val="Hyperlink"/>
                  <w:sz w:val="22"/>
                </w:rPr>
                <w:t>https://educationendowmentfoundation.org.uk/education-evidence/teaching-learning-toolkit/social-and-emotional-learning</w:t>
              </w:r>
            </w:hyperlink>
          </w:p>
          <w:p w14:paraId="1DDDB4CB" w14:textId="646A1C4A" w:rsidR="00564130" w:rsidRDefault="00C02EA8">
            <w:pPr>
              <w:pStyle w:val="TableRowCentered"/>
              <w:jc w:val="left"/>
              <w:rPr>
                <w:sz w:val="22"/>
              </w:rPr>
            </w:pPr>
            <w:hyperlink r:id="rId21" w:history="1">
              <w:r w:rsidR="00564130" w:rsidRPr="00532CFA">
                <w:rPr>
                  <w:rStyle w:val="Hyperlink"/>
                  <w:sz w:val="22"/>
                </w:rPr>
                <w:t>https://educationendowmentfoundation.org.uk/education-evidence/teaching-learning-toolkit/behaviour-interventions</w:t>
              </w:r>
            </w:hyperlink>
          </w:p>
          <w:p w14:paraId="780380A7" w14:textId="2EB2D68D" w:rsidR="00564130" w:rsidRDefault="00564130">
            <w:pPr>
              <w:pStyle w:val="TableRowCentered"/>
              <w:jc w:val="left"/>
              <w:rPr>
                <w:sz w:val="22"/>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7DCE" w14:textId="507E7799" w:rsidR="007A3C59" w:rsidRDefault="00564130">
            <w:pPr>
              <w:pStyle w:val="TableRowCentered"/>
              <w:jc w:val="left"/>
              <w:rPr>
                <w:sz w:val="22"/>
              </w:rPr>
            </w:pPr>
            <w:r>
              <w:rPr>
                <w:sz w:val="22"/>
              </w:rPr>
              <w:t>2</w:t>
            </w:r>
          </w:p>
        </w:tc>
      </w:tr>
      <w:tr w:rsidR="007A3C59" w14:paraId="669F82E5" w14:textId="77777777" w:rsidTr="00131B8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7C735" w14:textId="552864F5" w:rsidR="007A3C59" w:rsidRDefault="007A3C59">
            <w:pPr>
              <w:pStyle w:val="TableRow"/>
              <w:rPr>
                <w:i/>
                <w:sz w:val="22"/>
              </w:rPr>
            </w:pPr>
            <w:proofErr w:type="gramStart"/>
            <w:r>
              <w:rPr>
                <w:i/>
                <w:sz w:val="22"/>
              </w:rPr>
              <w:t>CPD  e.g.</w:t>
            </w:r>
            <w:proofErr w:type="gramEnd"/>
            <w:r>
              <w:rPr>
                <w:i/>
                <w:sz w:val="22"/>
              </w:rPr>
              <w:t xml:space="preserve"> national nurture network and MHFA</w:t>
            </w:r>
          </w:p>
        </w:tc>
        <w:tc>
          <w:tcPr>
            <w:tcW w:w="7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4D1A5" w14:textId="7CA01C02" w:rsidR="007A3C59" w:rsidRDefault="00C02EA8">
            <w:pPr>
              <w:pStyle w:val="TableRowCentered"/>
              <w:jc w:val="left"/>
              <w:rPr>
                <w:sz w:val="22"/>
              </w:rPr>
            </w:pPr>
            <w:hyperlink r:id="rId22" w:history="1">
              <w:r w:rsidR="00131B89" w:rsidRPr="00532CFA">
                <w:rPr>
                  <w:rStyle w:val="Hyperlink"/>
                  <w:sz w:val="22"/>
                </w:rPr>
                <w:t>https://assets.publishing.service.gov.uk/government/uploads/system/uploads/attachment_data/file/413531/Report_summary_-_Supporting_children_with_challenging_behaviour_through_a_nurture_group_approach.pdf</w:t>
              </w:r>
            </w:hyperlink>
          </w:p>
          <w:p w14:paraId="4482271A" w14:textId="17B2690D" w:rsidR="00131B89" w:rsidRDefault="00131B89">
            <w:pPr>
              <w:pStyle w:val="TableRowCentered"/>
              <w:jc w:val="left"/>
              <w:rPr>
                <w:sz w:val="22"/>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2EB08" w14:textId="0E547676" w:rsidR="007A3C59" w:rsidRDefault="00564130">
            <w:pPr>
              <w:pStyle w:val="TableRowCentered"/>
              <w:jc w:val="left"/>
              <w:rPr>
                <w:sz w:val="22"/>
              </w:rPr>
            </w:pPr>
            <w:r>
              <w:rPr>
                <w:sz w:val="22"/>
              </w:rPr>
              <w:t>1,2</w:t>
            </w:r>
          </w:p>
        </w:tc>
      </w:tr>
      <w:tr w:rsidR="007A3C59" w14:paraId="2CFFD499" w14:textId="77777777" w:rsidTr="00131B8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7E21F" w14:textId="57CB47AF" w:rsidR="007A3C59" w:rsidRDefault="007A3C59">
            <w:pPr>
              <w:pStyle w:val="TableRow"/>
              <w:rPr>
                <w:i/>
                <w:sz w:val="22"/>
              </w:rPr>
            </w:pPr>
            <w:r>
              <w:rPr>
                <w:i/>
                <w:sz w:val="22"/>
              </w:rPr>
              <w:t xml:space="preserve">Drawing </w:t>
            </w:r>
            <w:proofErr w:type="spellStart"/>
            <w:r>
              <w:rPr>
                <w:i/>
                <w:sz w:val="22"/>
              </w:rPr>
              <w:t>Thaerapy</w:t>
            </w:r>
            <w:proofErr w:type="spellEnd"/>
          </w:p>
        </w:tc>
        <w:tc>
          <w:tcPr>
            <w:tcW w:w="7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7E872" w14:textId="77777777" w:rsidR="00852379" w:rsidRDefault="00852379" w:rsidP="00852379">
            <w:pPr>
              <w:pStyle w:val="TableRowCentered"/>
              <w:jc w:val="left"/>
              <w:rPr>
                <w:sz w:val="18"/>
                <w:szCs w:val="18"/>
              </w:rPr>
            </w:pPr>
            <w:r>
              <w:rPr>
                <w:sz w:val="18"/>
                <w:szCs w:val="18"/>
              </w:rPr>
              <w:t>There is a strong body of evidence that suggests that SEL and behaviour interventions can have a positive impact on outcomes for pupils.</w:t>
            </w:r>
          </w:p>
          <w:p w14:paraId="45FE1670" w14:textId="77777777" w:rsidR="00852379" w:rsidRDefault="00852379">
            <w:pPr>
              <w:pStyle w:val="TableRowCentered"/>
              <w:jc w:val="left"/>
              <w:rPr>
                <w:sz w:val="22"/>
              </w:rPr>
            </w:pPr>
          </w:p>
          <w:p w14:paraId="154BD4F1" w14:textId="4A01E6BF" w:rsidR="007A3C59" w:rsidRDefault="00C02EA8">
            <w:pPr>
              <w:pStyle w:val="TableRowCentered"/>
              <w:jc w:val="left"/>
              <w:rPr>
                <w:sz w:val="22"/>
              </w:rPr>
            </w:pPr>
            <w:hyperlink r:id="rId23" w:history="1">
              <w:r w:rsidR="00564130" w:rsidRPr="00532CFA">
                <w:rPr>
                  <w:rStyle w:val="Hyperlink"/>
                  <w:sz w:val="22"/>
                </w:rPr>
                <w:t>https://educationendowmentfoundation.org.uk/education-evidence/teaching-learning-toolkit/social-and-emotional-learning</w:t>
              </w:r>
            </w:hyperlink>
          </w:p>
          <w:p w14:paraId="0E3A7EF5" w14:textId="0E2AA6C0" w:rsidR="00564130" w:rsidRDefault="00564130">
            <w:pPr>
              <w:pStyle w:val="TableRowCentered"/>
              <w:jc w:val="left"/>
              <w:rPr>
                <w:sz w:val="22"/>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524C0" w14:textId="7E2982FB" w:rsidR="007A3C59" w:rsidRDefault="00564130">
            <w:pPr>
              <w:pStyle w:val="TableRowCentered"/>
              <w:jc w:val="left"/>
              <w:rPr>
                <w:sz w:val="22"/>
              </w:rPr>
            </w:pPr>
            <w:r>
              <w:rPr>
                <w:sz w:val="22"/>
              </w:rPr>
              <w:t>2</w:t>
            </w:r>
          </w:p>
        </w:tc>
      </w:tr>
      <w:tr w:rsidR="007A3C59" w14:paraId="4728ACF2" w14:textId="77777777" w:rsidTr="00131B8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042C" w14:textId="589648C1" w:rsidR="007A3C59" w:rsidRDefault="003809FE">
            <w:pPr>
              <w:pStyle w:val="TableRow"/>
              <w:rPr>
                <w:i/>
                <w:sz w:val="22"/>
              </w:rPr>
            </w:pPr>
            <w:r>
              <w:rPr>
                <w:i/>
                <w:sz w:val="22"/>
              </w:rPr>
              <w:t xml:space="preserve">Financial support </w:t>
            </w:r>
            <w:proofErr w:type="gramStart"/>
            <w:r>
              <w:rPr>
                <w:i/>
                <w:sz w:val="22"/>
              </w:rPr>
              <w:t>e.g.</w:t>
            </w:r>
            <w:proofErr w:type="gramEnd"/>
            <w:r>
              <w:rPr>
                <w:i/>
                <w:sz w:val="22"/>
              </w:rPr>
              <w:t xml:space="preserve"> uniform, trips, child care</w:t>
            </w:r>
          </w:p>
        </w:tc>
        <w:tc>
          <w:tcPr>
            <w:tcW w:w="7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BE42D" w14:textId="7F482041" w:rsidR="007A3C59" w:rsidRDefault="00046748">
            <w:pPr>
              <w:pStyle w:val="TableRowCentered"/>
              <w:jc w:val="left"/>
              <w:rPr>
                <w:sz w:val="22"/>
              </w:rPr>
            </w:pPr>
            <w:r>
              <w:rPr>
                <w:sz w:val="22"/>
              </w:rPr>
              <w:t xml:space="preserve">An amount of our pupil premium funding is used to support children and families in financial difficulty who are unable to provide uniform or equipment needed. We may also use it so that our disadvantaged pupils have access to before and after school wrap around care or </w:t>
            </w:r>
            <w:proofErr w:type="spellStart"/>
            <w:r>
              <w:rPr>
                <w:sz w:val="22"/>
              </w:rPr>
              <w:t>activites</w:t>
            </w:r>
            <w:proofErr w:type="spellEnd"/>
            <w:r>
              <w:rPr>
                <w:sz w:val="22"/>
              </w:rPr>
              <w:t xml:space="preserve"> </w:t>
            </w:r>
            <w:proofErr w:type="gramStart"/>
            <w:r>
              <w:rPr>
                <w:sz w:val="22"/>
              </w:rPr>
              <w:t>in order to</w:t>
            </w:r>
            <w:proofErr w:type="gramEnd"/>
            <w:r>
              <w:rPr>
                <w:sz w:val="22"/>
              </w:rPr>
              <w:t xml:space="preserve"> support working families on low income or to supplement the cost of school trips where families are unable to contribute towards costs.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D642B" w14:textId="09F3BA87" w:rsidR="007A3C59" w:rsidRDefault="00564130">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451B379F" w:rsidR="00E66558" w:rsidRPr="006452B1" w:rsidRDefault="009D71E8" w:rsidP="00120AB1">
      <w:pPr>
        <w:rPr>
          <w:color w:val="3E762A" w:themeColor="accent1" w:themeShade="BF"/>
        </w:rPr>
      </w:pPr>
      <w:r w:rsidRPr="006452B1">
        <w:rPr>
          <w:b/>
          <w:bCs/>
          <w:color w:val="3E762A" w:themeColor="accent1" w:themeShade="BF"/>
          <w:sz w:val="28"/>
          <w:szCs w:val="28"/>
        </w:rPr>
        <w:t>Total budgeted cost: £</w:t>
      </w:r>
      <w:r w:rsidR="00E16E8B">
        <w:rPr>
          <w:b/>
          <w:bCs/>
          <w:color w:val="3E762A" w:themeColor="accent1" w:themeShade="BF"/>
          <w:sz w:val="28"/>
          <w:szCs w:val="28"/>
        </w:rPr>
        <w:t>160955.00</w:t>
      </w:r>
    </w:p>
    <w:p w14:paraId="2A7D5542" w14:textId="77777777" w:rsidR="00E66558" w:rsidRPr="006452B1" w:rsidRDefault="009D71E8">
      <w:pPr>
        <w:pStyle w:val="Heading1"/>
        <w:rPr>
          <w:color w:val="3E762A" w:themeColor="accent1" w:themeShade="BF"/>
        </w:rPr>
      </w:pPr>
      <w:r w:rsidRPr="006452B1">
        <w:rPr>
          <w:color w:val="3E762A" w:themeColor="accent1" w:themeShade="BF"/>
        </w:rPr>
        <w:lastRenderedPageBreak/>
        <w:t>Part B: Review of outcomes in the previous academic year</w:t>
      </w:r>
    </w:p>
    <w:p w14:paraId="2A7D5543" w14:textId="77777777" w:rsidR="00E66558" w:rsidRPr="006452B1" w:rsidRDefault="009D71E8">
      <w:pPr>
        <w:pStyle w:val="Heading2"/>
        <w:rPr>
          <w:color w:val="3E762A" w:themeColor="accent1" w:themeShade="BF"/>
        </w:rPr>
      </w:pPr>
      <w:r w:rsidRPr="006452B1">
        <w:rPr>
          <w:color w:val="3E762A" w:themeColor="accent1" w:themeShade="BF"/>
        </w:rPr>
        <w:t>Pupil premium strategy outcomes</w:t>
      </w:r>
    </w:p>
    <w:p w14:paraId="2A7D5544" w14:textId="5D34EDAC" w:rsidR="00E66558" w:rsidRDefault="009D71E8">
      <w:r>
        <w:t>This details the impact that our pupil premium activity had on pupils in the 202</w:t>
      </w:r>
      <w:r w:rsidR="00E26952">
        <w:t xml:space="preserve">2 </w:t>
      </w:r>
      <w:r w:rsidR="001D73EB">
        <w:t>–</w:t>
      </w:r>
      <w:r w:rsidR="00E26952">
        <w:t xml:space="preserve"> 23</w:t>
      </w:r>
      <w:r w:rsidR="001D73EB">
        <w:t xml:space="preserve"> academic year</w:t>
      </w:r>
      <w:proofErr w:type="gramStart"/>
      <w:r w:rsidR="001D73EB">
        <w:t>.</w:t>
      </w:r>
      <w:r>
        <w:t xml:space="preserve"> .</w:t>
      </w:r>
      <w:proofErr w:type="gramEnd"/>
      <w:r>
        <w:t xml:space="preserve"> </w:t>
      </w:r>
    </w:p>
    <w:tbl>
      <w:tblPr>
        <w:tblW w:w="14596" w:type="dxa"/>
        <w:tblCellMar>
          <w:left w:w="10" w:type="dxa"/>
          <w:right w:w="10" w:type="dxa"/>
        </w:tblCellMar>
        <w:tblLook w:val="04A0" w:firstRow="1" w:lastRow="0" w:firstColumn="1" w:lastColumn="0" w:noHBand="0" w:noVBand="1"/>
      </w:tblPr>
      <w:tblGrid>
        <w:gridCol w:w="14596"/>
      </w:tblGrid>
      <w:tr w:rsidR="00E66558" w14:paraId="2A7D5547" w14:textId="77777777" w:rsidTr="00F94C8B">
        <w:trPr>
          <w:trHeight w:val="1102"/>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3CC0" w14:textId="77777777" w:rsidR="00BB757A" w:rsidRDefault="00BB757A" w:rsidP="00782763">
            <w:pPr>
              <w:pStyle w:val="TableRowCentered"/>
              <w:jc w:val="left"/>
              <w:rPr>
                <w:sz w:val="22"/>
                <w:szCs w:val="22"/>
              </w:rPr>
            </w:pPr>
          </w:p>
          <w:p w14:paraId="2D27EAFF" w14:textId="19E13AE6" w:rsidR="00024AD0" w:rsidRDefault="00024AD0" w:rsidP="00782763">
            <w:pPr>
              <w:pStyle w:val="TableRowCentered"/>
              <w:jc w:val="left"/>
              <w:rPr>
                <w:sz w:val="22"/>
                <w:szCs w:val="22"/>
              </w:rPr>
            </w:pPr>
            <w:r>
              <w:rPr>
                <w:sz w:val="22"/>
                <w:szCs w:val="22"/>
              </w:rPr>
              <w:t>60% of the pupils in Year 6 in 20</w:t>
            </w:r>
            <w:r w:rsidR="00D67563">
              <w:rPr>
                <w:sz w:val="22"/>
                <w:szCs w:val="22"/>
              </w:rPr>
              <w:t>23 were pupil premium pupils.</w:t>
            </w:r>
            <w:r w:rsidR="00B65351">
              <w:rPr>
                <w:sz w:val="22"/>
                <w:szCs w:val="22"/>
              </w:rPr>
              <w:t>30% were SEN</w:t>
            </w:r>
            <w:r w:rsidR="00D67563">
              <w:rPr>
                <w:sz w:val="22"/>
                <w:szCs w:val="22"/>
              </w:rPr>
              <w:t xml:space="preserve"> </w:t>
            </w:r>
            <w:r w:rsidR="00FB7C7B">
              <w:rPr>
                <w:sz w:val="22"/>
                <w:szCs w:val="22"/>
              </w:rPr>
              <w:t xml:space="preserve">and 11% </w:t>
            </w:r>
            <w:r w:rsidR="00D70FDE">
              <w:rPr>
                <w:sz w:val="22"/>
                <w:szCs w:val="22"/>
              </w:rPr>
              <w:t>had an EHCP</w:t>
            </w:r>
            <w:r w:rsidR="0041759C">
              <w:rPr>
                <w:sz w:val="22"/>
                <w:szCs w:val="22"/>
              </w:rPr>
              <w:t>.  15</w:t>
            </w:r>
            <w:r w:rsidR="00C2271C">
              <w:rPr>
                <w:sz w:val="22"/>
                <w:szCs w:val="22"/>
              </w:rPr>
              <w:t xml:space="preserve">% were not able to access the mainstream classroom </w:t>
            </w:r>
            <w:r w:rsidR="0041759C">
              <w:rPr>
                <w:sz w:val="22"/>
                <w:szCs w:val="22"/>
              </w:rPr>
              <w:t xml:space="preserve">due to SEMH needs </w:t>
            </w:r>
            <w:r w:rsidR="00C2271C">
              <w:rPr>
                <w:sz w:val="22"/>
                <w:szCs w:val="22"/>
              </w:rPr>
              <w:t xml:space="preserve">and </w:t>
            </w:r>
            <w:r w:rsidR="007177DF">
              <w:rPr>
                <w:sz w:val="22"/>
                <w:szCs w:val="22"/>
              </w:rPr>
              <w:t xml:space="preserve">were educated in alternative provision both within school and with external offsite providers. </w:t>
            </w:r>
            <w:r w:rsidR="007017A1">
              <w:rPr>
                <w:sz w:val="22"/>
                <w:szCs w:val="22"/>
              </w:rPr>
              <w:t xml:space="preserve">  These elements combined created a very high level of need within the cohort. </w:t>
            </w:r>
          </w:p>
          <w:p w14:paraId="5E19508F" w14:textId="77777777" w:rsidR="00B32563" w:rsidRDefault="00B32563" w:rsidP="00782763">
            <w:pPr>
              <w:pStyle w:val="TableRowCentered"/>
              <w:jc w:val="left"/>
              <w:rPr>
                <w:sz w:val="22"/>
                <w:szCs w:val="22"/>
              </w:rPr>
            </w:pPr>
          </w:p>
          <w:p w14:paraId="539C3E11" w14:textId="4A10D3C9" w:rsidR="00B32563" w:rsidRDefault="00B32563" w:rsidP="00782763">
            <w:pPr>
              <w:pStyle w:val="TableRowCentered"/>
              <w:jc w:val="left"/>
              <w:rPr>
                <w:sz w:val="22"/>
                <w:szCs w:val="22"/>
              </w:rPr>
            </w:pPr>
            <w:r>
              <w:rPr>
                <w:sz w:val="22"/>
                <w:szCs w:val="22"/>
              </w:rPr>
              <w:t xml:space="preserve">End of year 6 SAT results indicate that </w:t>
            </w:r>
            <w:r w:rsidR="006346C6">
              <w:rPr>
                <w:sz w:val="22"/>
                <w:szCs w:val="22"/>
              </w:rPr>
              <w:t>ther</w:t>
            </w:r>
            <w:r w:rsidR="00D1492F">
              <w:rPr>
                <w:sz w:val="22"/>
                <w:szCs w:val="22"/>
              </w:rPr>
              <w:t>e</w:t>
            </w:r>
            <w:r w:rsidR="006346C6">
              <w:rPr>
                <w:sz w:val="22"/>
                <w:szCs w:val="22"/>
              </w:rPr>
              <w:t xml:space="preserve"> is a gap in progress and attainment between </w:t>
            </w:r>
            <w:r w:rsidR="00F31154">
              <w:rPr>
                <w:sz w:val="22"/>
                <w:szCs w:val="22"/>
              </w:rPr>
              <w:t xml:space="preserve">PP and </w:t>
            </w:r>
            <w:proofErr w:type="gramStart"/>
            <w:r w:rsidR="00F31154">
              <w:rPr>
                <w:sz w:val="22"/>
                <w:szCs w:val="22"/>
              </w:rPr>
              <w:t>non PP</w:t>
            </w:r>
            <w:proofErr w:type="gramEnd"/>
            <w:r w:rsidR="00F31154">
              <w:rPr>
                <w:sz w:val="22"/>
                <w:szCs w:val="22"/>
              </w:rPr>
              <w:t xml:space="preserve"> pupils</w:t>
            </w:r>
            <w:r w:rsidR="00255490">
              <w:rPr>
                <w:sz w:val="22"/>
                <w:szCs w:val="22"/>
              </w:rPr>
              <w:t xml:space="preserve"> of </w:t>
            </w:r>
            <w:r w:rsidR="00C758DD">
              <w:rPr>
                <w:sz w:val="22"/>
                <w:szCs w:val="22"/>
              </w:rPr>
              <w:t>-1.7 in average scaled score and -</w:t>
            </w:r>
            <w:r w:rsidR="002275D4">
              <w:rPr>
                <w:sz w:val="22"/>
                <w:szCs w:val="22"/>
              </w:rPr>
              <w:t>1.9 in progress</w:t>
            </w:r>
            <w:r w:rsidR="00F31154">
              <w:rPr>
                <w:sz w:val="22"/>
                <w:szCs w:val="22"/>
              </w:rPr>
              <w:t xml:space="preserve"> however no </w:t>
            </w:r>
            <w:r w:rsidR="00052D57">
              <w:rPr>
                <w:sz w:val="22"/>
                <w:szCs w:val="22"/>
              </w:rPr>
              <w:t xml:space="preserve">comparative </w:t>
            </w:r>
            <w:r w:rsidR="00F31154">
              <w:rPr>
                <w:sz w:val="22"/>
                <w:szCs w:val="22"/>
              </w:rPr>
              <w:t>national data was available at time of writing to assess how significant this gap is.</w:t>
            </w:r>
          </w:p>
          <w:p w14:paraId="14EE8280" w14:textId="77777777" w:rsidR="00B51F66" w:rsidRDefault="00B51F66" w:rsidP="00782763">
            <w:pPr>
              <w:pStyle w:val="TableRowCentered"/>
              <w:jc w:val="left"/>
              <w:rPr>
                <w:sz w:val="22"/>
                <w:szCs w:val="22"/>
              </w:rPr>
            </w:pPr>
          </w:p>
          <w:p w14:paraId="7DF9CEED" w14:textId="624C88C5" w:rsidR="00C82528" w:rsidRDefault="00C82528" w:rsidP="00782763">
            <w:pPr>
              <w:pStyle w:val="TableRowCentered"/>
              <w:jc w:val="left"/>
              <w:rPr>
                <w:sz w:val="22"/>
                <w:szCs w:val="22"/>
              </w:rPr>
            </w:pPr>
            <w:r>
              <w:rPr>
                <w:sz w:val="22"/>
                <w:szCs w:val="22"/>
              </w:rPr>
              <w:t>Our Pupils with Social Emotional and mental health needs made good progress.</w:t>
            </w:r>
            <w:r w:rsidR="008D38AC">
              <w:rPr>
                <w:sz w:val="22"/>
                <w:szCs w:val="22"/>
              </w:rPr>
              <w:t xml:space="preserve"> </w:t>
            </w:r>
            <w:r w:rsidR="00D326BA">
              <w:rPr>
                <w:sz w:val="22"/>
                <w:szCs w:val="22"/>
              </w:rPr>
              <w:t xml:space="preserve">All pupils referred to nurture and nurture+ have been assessed using Boxall profile </w:t>
            </w:r>
            <w:r w:rsidR="00960E34">
              <w:rPr>
                <w:sz w:val="22"/>
                <w:szCs w:val="22"/>
              </w:rPr>
              <w:t xml:space="preserve">and have made progress against these standards. 1 of our </w:t>
            </w:r>
            <w:r w:rsidR="00E73045">
              <w:rPr>
                <w:sz w:val="22"/>
                <w:szCs w:val="22"/>
              </w:rPr>
              <w:t xml:space="preserve">y6 </w:t>
            </w:r>
            <w:r w:rsidR="00960E34">
              <w:rPr>
                <w:sz w:val="22"/>
                <w:szCs w:val="22"/>
              </w:rPr>
              <w:t>pupil</w:t>
            </w:r>
            <w:r w:rsidR="006B7B60">
              <w:rPr>
                <w:sz w:val="22"/>
                <w:szCs w:val="22"/>
              </w:rPr>
              <w:t>s</w:t>
            </w:r>
            <w:r w:rsidR="00487998">
              <w:rPr>
                <w:sz w:val="22"/>
                <w:szCs w:val="22"/>
              </w:rPr>
              <w:t xml:space="preserve"> with an EHCP for SEMH</w:t>
            </w:r>
            <w:r w:rsidR="006B7B60">
              <w:rPr>
                <w:sz w:val="22"/>
                <w:szCs w:val="22"/>
              </w:rPr>
              <w:t xml:space="preserve"> </w:t>
            </w:r>
            <w:r w:rsidR="00C835A6">
              <w:rPr>
                <w:sz w:val="22"/>
                <w:szCs w:val="22"/>
              </w:rPr>
              <w:t xml:space="preserve">transferred to a mainstream secondary school and is </w:t>
            </w:r>
            <w:r w:rsidR="00E73045">
              <w:rPr>
                <w:sz w:val="22"/>
                <w:szCs w:val="22"/>
              </w:rPr>
              <w:t xml:space="preserve">attending with support. A second was educated offsite at </w:t>
            </w:r>
            <w:r w:rsidR="00487998">
              <w:rPr>
                <w:sz w:val="22"/>
                <w:szCs w:val="22"/>
              </w:rPr>
              <w:t xml:space="preserve">Park Aspire and following unsuccessful </w:t>
            </w:r>
            <w:r w:rsidR="00150A34">
              <w:rPr>
                <w:sz w:val="22"/>
                <w:szCs w:val="22"/>
              </w:rPr>
              <w:t>induction visits at a mainstream high school, is now attending a specialist secondary provision</w:t>
            </w:r>
            <w:r w:rsidR="00CA7A2D">
              <w:rPr>
                <w:sz w:val="22"/>
                <w:szCs w:val="22"/>
              </w:rPr>
              <w:t xml:space="preserve"> this was facilitated by the EHCP secured by our school. </w:t>
            </w:r>
          </w:p>
          <w:p w14:paraId="1C8E5BB9" w14:textId="1BF4EA3B" w:rsidR="001837A0" w:rsidRDefault="001837A0" w:rsidP="00883F54">
            <w:pPr>
              <w:pStyle w:val="TableRowCentered"/>
              <w:ind w:left="0"/>
              <w:jc w:val="left"/>
              <w:rPr>
                <w:sz w:val="22"/>
                <w:szCs w:val="22"/>
              </w:rPr>
            </w:pPr>
            <w:r>
              <w:rPr>
                <w:sz w:val="22"/>
                <w:szCs w:val="22"/>
              </w:rPr>
              <w:t xml:space="preserve"> </w:t>
            </w:r>
          </w:p>
          <w:p w14:paraId="40017EA5" w14:textId="033B18A9" w:rsidR="008D38AC" w:rsidRDefault="001837A0" w:rsidP="001837A0">
            <w:pPr>
              <w:pStyle w:val="TableRowCentered"/>
              <w:jc w:val="left"/>
              <w:rPr>
                <w:sz w:val="22"/>
                <w:szCs w:val="22"/>
              </w:rPr>
            </w:pPr>
            <w:r>
              <w:rPr>
                <w:sz w:val="22"/>
                <w:szCs w:val="22"/>
              </w:rPr>
              <w:t xml:space="preserve">The school has subsidised trips and learning experiences so that all pupils can attend regardless of family ability to </w:t>
            </w:r>
            <w:r w:rsidR="005B47EF">
              <w:rPr>
                <w:sz w:val="22"/>
                <w:szCs w:val="22"/>
              </w:rPr>
              <w:t>pay</w:t>
            </w:r>
            <w:r>
              <w:rPr>
                <w:sz w:val="22"/>
                <w:szCs w:val="22"/>
              </w:rPr>
              <w:t>.</w:t>
            </w:r>
          </w:p>
          <w:p w14:paraId="441B4B0C" w14:textId="661AEF03" w:rsidR="00BB757A" w:rsidRDefault="00BB757A" w:rsidP="001837A0">
            <w:pPr>
              <w:pStyle w:val="TableRowCentered"/>
              <w:jc w:val="left"/>
              <w:rPr>
                <w:sz w:val="22"/>
                <w:szCs w:val="22"/>
              </w:rPr>
            </w:pPr>
          </w:p>
          <w:p w14:paraId="17012E34" w14:textId="0A4A97CB" w:rsidR="009A7376" w:rsidRDefault="009A7376" w:rsidP="001837A0">
            <w:pPr>
              <w:pStyle w:val="TableRowCentered"/>
              <w:jc w:val="left"/>
              <w:rPr>
                <w:sz w:val="22"/>
                <w:szCs w:val="22"/>
              </w:rPr>
            </w:pPr>
            <w:r>
              <w:rPr>
                <w:sz w:val="22"/>
                <w:szCs w:val="22"/>
              </w:rPr>
              <w:t>Year 1 phonics results indicate that there is no gap between pupil premium and other children at our school in terms of the proportion of pupils a</w:t>
            </w:r>
            <w:r w:rsidR="001E1153">
              <w:rPr>
                <w:sz w:val="22"/>
                <w:szCs w:val="22"/>
              </w:rPr>
              <w:t>chieving the standard.</w:t>
            </w:r>
          </w:p>
          <w:p w14:paraId="31E6318A" w14:textId="77777777" w:rsidR="001E1153" w:rsidRDefault="001E1153" w:rsidP="001837A0">
            <w:pPr>
              <w:pStyle w:val="TableRowCentered"/>
              <w:jc w:val="left"/>
              <w:rPr>
                <w:sz w:val="22"/>
                <w:szCs w:val="22"/>
              </w:rPr>
            </w:pPr>
          </w:p>
          <w:p w14:paraId="383586AD" w14:textId="2C913BB6" w:rsidR="005777F0" w:rsidRDefault="00875B4C">
            <w:pPr>
              <w:spacing w:before="120"/>
            </w:pPr>
            <w:r>
              <w:t>At Key Stage 1</w:t>
            </w:r>
            <w:r w:rsidR="00951C70">
              <w:t xml:space="preserve"> 57% of pupils in year 2 </w:t>
            </w:r>
            <w:r w:rsidR="008139E9">
              <w:t xml:space="preserve">were pupil premium pupils and </w:t>
            </w:r>
            <w:r w:rsidR="00873FCF">
              <w:t>24% have SEN.</w:t>
            </w:r>
            <w:r w:rsidR="000105DB">
              <w:t xml:space="preserve"> I</w:t>
            </w:r>
            <w:r w:rsidR="00A937A8">
              <w:t>n reading and maths, attainment for the cohort was broadly in line with national levels</w:t>
            </w:r>
            <w:r w:rsidR="002F0462">
              <w:t xml:space="preserve"> </w:t>
            </w:r>
            <w:r w:rsidR="0079757B">
              <w:t>however</w:t>
            </w:r>
            <w:r w:rsidR="00A937A8">
              <w:t xml:space="preserve"> </w:t>
            </w:r>
            <w:r w:rsidR="00204077">
              <w:t>the</w:t>
            </w:r>
            <w:r w:rsidR="00FB4D30">
              <w:t xml:space="preserve">re is </w:t>
            </w:r>
            <w:proofErr w:type="gramStart"/>
            <w:r w:rsidR="00FB4D30">
              <w:t xml:space="preserve">a </w:t>
            </w:r>
            <w:r w:rsidR="00204077">
              <w:t xml:space="preserve"> gap</w:t>
            </w:r>
            <w:proofErr w:type="gramEnd"/>
            <w:r w:rsidR="00204077">
              <w:t xml:space="preserve"> in attainment between pupil premium pupils and </w:t>
            </w:r>
            <w:proofErr w:type="spellStart"/>
            <w:r w:rsidR="00204077">
              <w:t>non pupil</w:t>
            </w:r>
            <w:proofErr w:type="spellEnd"/>
            <w:r w:rsidR="00204077">
              <w:t xml:space="preserve"> premium pupi</w:t>
            </w:r>
            <w:r w:rsidR="00FB4D30">
              <w:t xml:space="preserve">ls. </w:t>
            </w:r>
            <w:r w:rsidR="00204077">
              <w:t xml:space="preserve">This cohort will require intervention </w:t>
            </w:r>
            <w:proofErr w:type="gramStart"/>
            <w:r w:rsidR="00204077">
              <w:t>in order to</w:t>
            </w:r>
            <w:proofErr w:type="gramEnd"/>
            <w:r w:rsidR="00204077">
              <w:t xml:space="preserve"> close the gap as they progress through the school.</w:t>
            </w:r>
          </w:p>
          <w:p w14:paraId="25ADC471" w14:textId="46469BF8" w:rsidR="00FB4D30" w:rsidRPr="00227A03" w:rsidRDefault="00FB4D30">
            <w:pPr>
              <w:spacing w:before="120"/>
            </w:pPr>
          </w:p>
          <w:p w14:paraId="2A7D5546" w14:textId="5E5E09B1" w:rsidR="00E66558" w:rsidRDefault="009D71E8">
            <w:r>
              <w:rPr>
                <w:i/>
                <w:lang w:eastAsia="en-US"/>
              </w:rPr>
              <w:lastRenderedPageBreak/>
              <w:t xml:space="preserve"> </w:t>
            </w:r>
          </w:p>
        </w:tc>
      </w:tr>
    </w:tbl>
    <w:p w14:paraId="2A7D5548" w14:textId="77777777" w:rsidR="00E66558" w:rsidRPr="006452B1" w:rsidRDefault="009D71E8">
      <w:pPr>
        <w:pStyle w:val="Heading2"/>
        <w:spacing w:before="600"/>
        <w:rPr>
          <w:color w:val="3E762A" w:themeColor="accent1" w:themeShade="BF"/>
        </w:rPr>
      </w:pPr>
      <w:r w:rsidRPr="006452B1">
        <w:rPr>
          <w:color w:val="3E762A" w:themeColor="accent1" w:themeShade="BF"/>
        </w:rPr>
        <w:lastRenderedPageBreak/>
        <w:t xml:space="preserve">Externally provided </w:t>
      </w:r>
      <w:proofErr w:type="gramStart"/>
      <w:r w:rsidRPr="006452B1">
        <w:rPr>
          <w:color w:val="3E762A" w:themeColor="accent1" w:themeShade="BF"/>
        </w:rP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rsidTr="006452B1">
        <w:tc>
          <w:tcPr>
            <w:tcW w:w="4815"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3AFC378" w:rsidR="00E66558" w:rsidRDefault="00023689">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997817C" w:rsidR="00E66558" w:rsidRDefault="00023689">
            <w:pPr>
              <w:pStyle w:val="TableRowCentered"/>
              <w:jc w:val="left"/>
            </w:pPr>
            <w:r>
              <w:t xml:space="preserve">Renaissance learning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30125C5" w:rsidR="00E66558" w:rsidRDefault="00557329">
            <w:pPr>
              <w:pStyle w:val="TableRow"/>
            </w:pPr>
            <w:r>
              <w:t>Individual maths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45468E8" w:rsidR="00E66558" w:rsidRDefault="00557329">
            <w:pPr>
              <w:pStyle w:val="TableRowCentered"/>
              <w:jc w:val="left"/>
            </w:pPr>
            <w:r>
              <w:t>3</w:t>
            </w:r>
            <w:r w:rsidRPr="00557329">
              <w:rPr>
                <w:vertAlign w:val="superscript"/>
              </w:rPr>
              <w:t>rd</w:t>
            </w:r>
            <w:r>
              <w:t xml:space="preserve"> space learning</w:t>
            </w:r>
          </w:p>
        </w:tc>
      </w:tr>
    </w:tbl>
    <w:p w14:paraId="2A7D555E" w14:textId="7121A7AD" w:rsidR="00E66558" w:rsidRDefault="00E66558"/>
    <w:p w14:paraId="083DE89E" w14:textId="77777777" w:rsidR="005617FB" w:rsidRPr="006452B1" w:rsidRDefault="005617FB" w:rsidP="005617FB">
      <w:pPr>
        <w:pStyle w:val="Heading1"/>
        <w:rPr>
          <w:color w:val="3E762A" w:themeColor="accent1" w:themeShade="BF"/>
        </w:rPr>
      </w:pPr>
      <w:r>
        <w:rPr>
          <w:color w:val="3E762A" w:themeColor="accent1" w:themeShade="BF"/>
        </w:rPr>
        <w:lastRenderedPageBreak/>
        <w:t>F</w:t>
      </w:r>
      <w:r w:rsidRPr="006452B1">
        <w:rPr>
          <w:color w:val="3E762A" w:themeColor="accent1" w:themeShade="BF"/>
        </w:rPr>
        <w:t>urther information (optional)</w:t>
      </w:r>
    </w:p>
    <w:tbl>
      <w:tblPr>
        <w:tblW w:w="9486" w:type="dxa"/>
        <w:tblCellMar>
          <w:left w:w="10" w:type="dxa"/>
          <w:right w:w="10" w:type="dxa"/>
        </w:tblCellMar>
        <w:tblLook w:val="04A0" w:firstRow="1" w:lastRow="0" w:firstColumn="1" w:lastColumn="0" w:noHBand="0" w:noVBand="1"/>
      </w:tblPr>
      <w:tblGrid>
        <w:gridCol w:w="9486"/>
      </w:tblGrid>
      <w:tr w:rsidR="005617FB" w14:paraId="76AF8E1D" w14:textId="77777777" w:rsidTr="00473C7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1977E" w14:textId="77777777" w:rsidR="005617FB" w:rsidRDefault="005617FB" w:rsidP="00473C73">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1FED890D" w14:textId="77777777" w:rsidR="005617FB" w:rsidRDefault="005617FB" w:rsidP="00473C73">
            <w:pPr>
              <w:spacing w:before="120" w:after="120"/>
              <w:rPr>
                <w:i/>
                <w:iCs/>
              </w:rPr>
            </w:pPr>
          </w:p>
        </w:tc>
      </w:tr>
    </w:tbl>
    <w:p w14:paraId="47EBD8EF" w14:textId="77777777" w:rsidR="005617FB" w:rsidRDefault="005617FB" w:rsidP="005617FB"/>
    <w:bookmarkEnd w:id="14"/>
    <w:bookmarkEnd w:id="15"/>
    <w:bookmarkEnd w:id="16"/>
    <w:p w14:paraId="332A9DF8" w14:textId="77777777" w:rsidR="005617FB" w:rsidRDefault="005617FB"/>
    <w:sectPr w:rsidR="005617FB" w:rsidSect="00606C18">
      <w:headerReference w:type="default" r:id="rId24"/>
      <w:footerReference w:type="default" r:id="rId25"/>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5408" w14:textId="77777777" w:rsidR="003E08B7" w:rsidRDefault="003E08B7">
      <w:pPr>
        <w:spacing w:after="0" w:line="240" w:lineRule="auto"/>
      </w:pPr>
      <w:r>
        <w:separator/>
      </w:r>
    </w:p>
  </w:endnote>
  <w:endnote w:type="continuationSeparator" w:id="0">
    <w:p w14:paraId="0A85D3AF" w14:textId="77777777" w:rsidR="003E08B7" w:rsidRDefault="003E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A4DFD4D" w:rsidR="00227A03" w:rsidRDefault="00227A03">
    <w:pPr>
      <w:pStyle w:val="Footer"/>
      <w:ind w:firstLine="4513"/>
    </w:pPr>
    <w:r>
      <w:fldChar w:fldCharType="begin"/>
    </w:r>
    <w:r>
      <w:instrText xml:space="preserve"> PAGE </w:instrText>
    </w:r>
    <w:r>
      <w:fldChar w:fldCharType="separate"/>
    </w:r>
    <w:r w:rsidR="00C02D4B">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0518" w14:textId="77777777" w:rsidR="003E08B7" w:rsidRDefault="003E08B7">
      <w:pPr>
        <w:spacing w:after="0" w:line="240" w:lineRule="auto"/>
      </w:pPr>
      <w:r>
        <w:separator/>
      </w:r>
    </w:p>
  </w:footnote>
  <w:footnote w:type="continuationSeparator" w:id="0">
    <w:p w14:paraId="066F8887" w14:textId="77777777" w:rsidR="003E08B7" w:rsidRDefault="003E0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227A03" w:rsidRDefault="00227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700EA5"/>
    <w:multiLevelType w:val="hybridMultilevel"/>
    <w:tmpl w:val="DBF84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30594078">
    <w:abstractNumId w:val="3"/>
  </w:num>
  <w:num w:numId="2" w16cid:durableId="2104955596">
    <w:abstractNumId w:val="1"/>
  </w:num>
  <w:num w:numId="3" w16cid:durableId="2054771596">
    <w:abstractNumId w:val="4"/>
  </w:num>
  <w:num w:numId="4" w16cid:durableId="332075828">
    <w:abstractNumId w:val="5"/>
  </w:num>
  <w:num w:numId="5" w16cid:durableId="946350194">
    <w:abstractNumId w:val="0"/>
  </w:num>
  <w:num w:numId="6" w16cid:durableId="455492018">
    <w:abstractNumId w:val="6"/>
  </w:num>
  <w:num w:numId="7" w16cid:durableId="881092585">
    <w:abstractNumId w:val="9"/>
  </w:num>
  <w:num w:numId="8" w16cid:durableId="934285139">
    <w:abstractNumId w:val="13"/>
  </w:num>
  <w:num w:numId="9" w16cid:durableId="1133057820">
    <w:abstractNumId w:val="11"/>
  </w:num>
  <w:num w:numId="10" w16cid:durableId="749886416">
    <w:abstractNumId w:val="10"/>
  </w:num>
  <w:num w:numId="11" w16cid:durableId="1855222710">
    <w:abstractNumId w:val="2"/>
  </w:num>
  <w:num w:numId="12" w16cid:durableId="1965381838">
    <w:abstractNumId w:val="12"/>
  </w:num>
  <w:num w:numId="13" w16cid:durableId="1480926804">
    <w:abstractNumId w:val="8"/>
  </w:num>
  <w:num w:numId="14" w16cid:durableId="649213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5DB"/>
    <w:rsid w:val="00023689"/>
    <w:rsid w:val="00024AD0"/>
    <w:rsid w:val="00044AAE"/>
    <w:rsid w:val="00046748"/>
    <w:rsid w:val="00052D57"/>
    <w:rsid w:val="000536CA"/>
    <w:rsid w:val="00056BC5"/>
    <w:rsid w:val="00066B73"/>
    <w:rsid w:val="00072228"/>
    <w:rsid w:val="00077EA9"/>
    <w:rsid w:val="00082151"/>
    <w:rsid w:val="00096998"/>
    <w:rsid w:val="000C6D9A"/>
    <w:rsid w:val="000D31E2"/>
    <w:rsid w:val="000E0CDF"/>
    <w:rsid w:val="000F5EC5"/>
    <w:rsid w:val="000F647F"/>
    <w:rsid w:val="000F72E9"/>
    <w:rsid w:val="00104026"/>
    <w:rsid w:val="00115928"/>
    <w:rsid w:val="00120AB1"/>
    <w:rsid w:val="00125CD2"/>
    <w:rsid w:val="00131B89"/>
    <w:rsid w:val="00150A34"/>
    <w:rsid w:val="0016342F"/>
    <w:rsid w:val="00172C10"/>
    <w:rsid w:val="001837A0"/>
    <w:rsid w:val="001D73EB"/>
    <w:rsid w:val="001E0ACE"/>
    <w:rsid w:val="001E1153"/>
    <w:rsid w:val="00204077"/>
    <w:rsid w:val="00225DBA"/>
    <w:rsid w:val="002264B1"/>
    <w:rsid w:val="002275D4"/>
    <w:rsid w:val="00227A03"/>
    <w:rsid w:val="002476A6"/>
    <w:rsid w:val="00255490"/>
    <w:rsid w:val="00261752"/>
    <w:rsid w:val="00271C18"/>
    <w:rsid w:val="00293667"/>
    <w:rsid w:val="00297E75"/>
    <w:rsid w:val="002A241B"/>
    <w:rsid w:val="002B0657"/>
    <w:rsid w:val="002D0646"/>
    <w:rsid w:val="002F0462"/>
    <w:rsid w:val="00310A43"/>
    <w:rsid w:val="00312126"/>
    <w:rsid w:val="00312B0C"/>
    <w:rsid w:val="00323F21"/>
    <w:rsid w:val="003438DB"/>
    <w:rsid w:val="0034593A"/>
    <w:rsid w:val="003809FE"/>
    <w:rsid w:val="00396754"/>
    <w:rsid w:val="003E08B7"/>
    <w:rsid w:val="003F213B"/>
    <w:rsid w:val="004044AA"/>
    <w:rsid w:val="00416927"/>
    <w:rsid w:val="0041759C"/>
    <w:rsid w:val="00431498"/>
    <w:rsid w:val="004459AB"/>
    <w:rsid w:val="00452571"/>
    <w:rsid w:val="00473C73"/>
    <w:rsid w:val="00487998"/>
    <w:rsid w:val="0049221D"/>
    <w:rsid w:val="004A644A"/>
    <w:rsid w:val="004C7FC3"/>
    <w:rsid w:val="004D15F9"/>
    <w:rsid w:val="004F7518"/>
    <w:rsid w:val="00524239"/>
    <w:rsid w:val="00524B3C"/>
    <w:rsid w:val="0054130E"/>
    <w:rsid w:val="00557329"/>
    <w:rsid w:val="005617FB"/>
    <w:rsid w:val="00564130"/>
    <w:rsid w:val="005777F0"/>
    <w:rsid w:val="00583FB1"/>
    <w:rsid w:val="005B2D0F"/>
    <w:rsid w:val="005B47EF"/>
    <w:rsid w:val="005E4286"/>
    <w:rsid w:val="005F33A1"/>
    <w:rsid w:val="006050C5"/>
    <w:rsid w:val="00606C18"/>
    <w:rsid w:val="00613D36"/>
    <w:rsid w:val="00630C3E"/>
    <w:rsid w:val="006346C6"/>
    <w:rsid w:val="0064273A"/>
    <w:rsid w:val="006452B1"/>
    <w:rsid w:val="00695894"/>
    <w:rsid w:val="006A1FD7"/>
    <w:rsid w:val="006B7B60"/>
    <w:rsid w:val="006E7145"/>
    <w:rsid w:val="006E7FB1"/>
    <w:rsid w:val="007017A1"/>
    <w:rsid w:val="00701C0D"/>
    <w:rsid w:val="007177DF"/>
    <w:rsid w:val="00726C84"/>
    <w:rsid w:val="007330F6"/>
    <w:rsid w:val="00741B9E"/>
    <w:rsid w:val="007569DB"/>
    <w:rsid w:val="00774A5B"/>
    <w:rsid w:val="007758D8"/>
    <w:rsid w:val="00782763"/>
    <w:rsid w:val="00790CD9"/>
    <w:rsid w:val="0079757B"/>
    <w:rsid w:val="007A3880"/>
    <w:rsid w:val="007A3C59"/>
    <w:rsid w:val="007C18EC"/>
    <w:rsid w:val="007C2F04"/>
    <w:rsid w:val="007C371E"/>
    <w:rsid w:val="007F1045"/>
    <w:rsid w:val="008042FF"/>
    <w:rsid w:val="008139E9"/>
    <w:rsid w:val="00826F8A"/>
    <w:rsid w:val="00852379"/>
    <w:rsid w:val="00863FB4"/>
    <w:rsid w:val="00873FCF"/>
    <w:rsid w:val="00875B4C"/>
    <w:rsid w:val="00883F54"/>
    <w:rsid w:val="008D38AC"/>
    <w:rsid w:val="008F5335"/>
    <w:rsid w:val="0094265B"/>
    <w:rsid w:val="009438C6"/>
    <w:rsid w:val="00944325"/>
    <w:rsid w:val="00951C70"/>
    <w:rsid w:val="00960E34"/>
    <w:rsid w:val="009638C8"/>
    <w:rsid w:val="009672A9"/>
    <w:rsid w:val="00982182"/>
    <w:rsid w:val="00983DA0"/>
    <w:rsid w:val="009A7376"/>
    <w:rsid w:val="009D71E8"/>
    <w:rsid w:val="00A237C8"/>
    <w:rsid w:val="00A81FA6"/>
    <w:rsid w:val="00A937A8"/>
    <w:rsid w:val="00A96839"/>
    <w:rsid w:val="00AA0DDC"/>
    <w:rsid w:val="00AE1EE0"/>
    <w:rsid w:val="00AE2502"/>
    <w:rsid w:val="00AF2742"/>
    <w:rsid w:val="00AF700E"/>
    <w:rsid w:val="00B00171"/>
    <w:rsid w:val="00B20590"/>
    <w:rsid w:val="00B26C6C"/>
    <w:rsid w:val="00B30B64"/>
    <w:rsid w:val="00B32563"/>
    <w:rsid w:val="00B51F66"/>
    <w:rsid w:val="00B65351"/>
    <w:rsid w:val="00B71AAC"/>
    <w:rsid w:val="00BA7289"/>
    <w:rsid w:val="00BB757A"/>
    <w:rsid w:val="00BC7E6C"/>
    <w:rsid w:val="00BE66CC"/>
    <w:rsid w:val="00BF2D15"/>
    <w:rsid w:val="00C02D4B"/>
    <w:rsid w:val="00C1094A"/>
    <w:rsid w:val="00C2271C"/>
    <w:rsid w:val="00C56F97"/>
    <w:rsid w:val="00C66655"/>
    <w:rsid w:val="00C758DD"/>
    <w:rsid w:val="00C82528"/>
    <w:rsid w:val="00C835A6"/>
    <w:rsid w:val="00CA7A2D"/>
    <w:rsid w:val="00CE5A43"/>
    <w:rsid w:val="00D1492F"/>
    <w:rsid w:val="00D324BA"/>
    <w:rsid w:val="00D326BA"/>
    <w:rsid w:val="00D33FE5"/>
    <w:rsid w:val="00D35F5D"/>
    <w:rsid w:val="00D40452"/>
    <w:rsid w:val="00D62935"/>
    <w:rsid w:val="00D67563"/>
    <w:rsid w:val="00D70FDE"/>
    <w:rsid w:val="00DA7DAD"/>
    <w:rsid w:val="00DB65C7"/>
    <w:rsid w:val="00DF70EE"/>
    <w:rsid w:val="00E0413A"/>
    <w:rsid w:val="00E16E8B"/>
    <w:rsid w:val="00E22036"/>
    <w:rsid w:val="00E2531A"/>
    <w:rsid w:val="00E26952"/>
    <w:rsid w:val="00E26B2A"/>
    <w:rsid w:val="00E32829"/>
    <w:rsid w:val="00E66558"/>
    <w:rsid w:val="00E73045"/>
    <w:rsid w:val="00E916EA"/>
    <w:rsid w:val="00EA006E"/>
    <w:rsid w:val="00EA56F0"/>
    <w:rsid w:val="00EC64F6"/>
    <w:rsid w:val="00ED6FB4"/>
    <w:rsid w:val="00EF0385"/>
    <w:rsid w:val="00EF3908"/>
    <w:rsid w:val="00F31154"/>
    <w:rsid w:val="00F34806"/>
    <w:rsid w:val="00F53176"/>
    <w:rsid w:val="00F615FC"/>
    <w:rsid w:val="00F63719"/>
    <w:rsid w:val="00F734C4"/>
    <w:rsid w:val="00F824F2"/>
    <w:rsid w:val="00F94C8B"/>
    <w:rsid w:val="00FB4D30"/>
    <w:rsid w:val="00FB7C7B"/>
    <w:rsid w:val="00FC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2476A6"/>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557329"/>
    <w:pPr>
      <w:autoSpaceDN/>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316">
      <w:bodyDiv w:val="1"/>
      <w:marLeft w:val="0"/>
      <w:marRight w:val="0"/>
      <w:marTop w:val="0"/>
      <w:marBottom w:val="0"/>
      <w:divBdr>
        <w:top w:val="none" w:sz="0" w:space="0" w:color="auto"/>
        <w:left w:val="none" w:sz="0" w:space="0" w:color="auto"/>
        <w:bottom w:val="none" w:sz="0" w:space="0" w:color="auto"/>
        <w:right w:val="none" w:sz="0" w:space="0" w:color="auto"/>
      </w:divBdr>
      <w:divsChild>
        <w:div w:id="1837303063">
          <w:marLeft w:val="0"/>
          <w:marRight w:val="4497"/>
          <w:marTop w:val="0"/>
          <w:marBottom w:val="0"/>
          <w:divBdr>
            <w:top w:val="single" w:sz="2" w:space="0" w:color="auto"/>
            <w:left w:val="single" w:sz="2" w:space="0" w:color="auto"/>
            <w:bottom w:val="single" w:sz="2" w:space="0" w:color="auto"/>
            <w:right w:val="single" w:sz="2" w:space="0" w:color="auto"/>
          </w:divBdr>
          <w:divsChild>
            <w:div w:id="1921057134">
              <w:marLeft w:val="0"/>
              <w:marRight w:val="0"/>
              <w:marTop w:val="0"/>
              <w:marBottom w:val="0"/>
              <w:divBdr>
                <w:top w:val="single" w:sz="2" w:space="0" w:color="auto"/>
                <w:left w:val="single" w:sz="2" w:space="0" w:color="auto"/>
                <w:bottom w:val="single" w:sz="2" w:space="0" w:color="auto"/>
                <w:right w:val="single" w:sz="2" w:space="0" w:color="auto"/>
              </w:divBdr>
            </w:div>
          </w:divsChild>
        </w:div>
        <w:div w:id="1684668494">
          <w:marLeft w:val="4497"/>
          <w:marRight w:val="4497"/>
          <w:marTop w:val="0"/>
          <w:marBottom w:val="0"/>
          <w:divBdr>
            <w:top w:val="single" w:sz="2" w:space="0" w:color="auto"/>
            <w:left w:val="single" w:sz="2" w:space="0" w:color="auto"/>
            <w:bottom w:val="single" w:sz="2" w:space="0" w:color="auto"/>
            <w:right w:val="single" w:sz="2" w:space="0" w:color="auto"/>
          </w:divBdr>
          <w:divsChild>
            <w:div w:id="1284119480">
              <w:marLeft w:val="0"/>
              <w:marRight w:val="0"/>
              <w:marTop w:val="0"/>
              <w:marBottom w:val="0"/>
              <w:divBdr>
                <w:top w:val="single" w:sz="2" w:space="0" w:color="auto"/>
                <w:left w:val="single" w:sz="2" w:space="0" w:color="auto"/>
                <w:bottom w:val="single" w:sz="2" w:space="0" w:color="auto"/>
                <w:right w:val="single" w:sz="2" w:space="0" w:color="auto"/>
              </w:divBdr>
            </w:div>
          </w:divsChild>
        </w:div>
        <w:div w:id="993492881">
          <w:marLeft w:val="4497"/>
          <w:marRight w:val="4497"/>
          <w:marTop w:val="0"/>
          <w:marBottom w:val="0"/>
          <w:divBdr>
            <w:top w:val="single" w:sz="2" w:space="0" w:color="auto"/>
            <w:left w:val="single" w:sz="2" w:space="0" w:color="auto"/>
            <w:bottom w:val="single" w:sz="2" w:space="0" w:color="auto"/>
            <w:right w:val="single" w:sz="2" w:space="0" w:color="auto"/>
          </w:divBdr>
          <w:divsChild>
            <w:div w:id="9895592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effective-professional-development"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educationendowmentfoundation.org.uk/education-evidence/teaching-learning-toolkit/behaviour-interven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behaviour-interventions" TargetMode="External"/><Relationship Id="rId7" Type="http://schemas.openxmlformats.org/officeDocument/2006/relationships/image" Target="media/image1.png"/><Relationship Id="rId12" Type="http://schemas.openxmlformats.org/officeDocument/2006/relationships/hyperlink" Target="https://educationendowmentfoundation.org.uk/education-evidence/teaching-learning-toolkit/reading-comprehension-strategies?utm_source=/education-evidence/teaching-learning-toolkit/reading-comprehension-strategies&amp;utm_medium=search&amp;utm_campaign=site_search&amp;search_term=reading%20comprehension" TargetMode="External"/><Relationship Id="rId17" Type="http://schemas.openxmlformats.org/officeDocument/2006/relationships/hyperlink" Target="https://educationendowmentfoundation.org.uk/education-evidence/teaching-learning-toolkit/social-and-emotional-learn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413531/Report_summary_-_Supporting_children_with_challenging_behaviour_through_a_nurture_group_approach.pdf"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mall-group-tuitio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yperlink" Target="https://educationendowmentfoundation.org.uk/education-evidence/teaching-learning-toolkit/social-and-emotional-learning" TargetMode="Externa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hyperlink" Target="https://assets.publishing.service.gov.uk/government/uploads/system/uploads/attachment_data/file/413531/Report_summary_-_Supporting_children_with_challenging_behaviour_through_a_nurture_group_approach.pdf"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ukedchat.com/2020/03/16/low-stakes-testing/" TargetMode="External"/><Relationship Id="rId22" Type="http://schemas.openxmlformats.org/officeDocument/2006/relationships/hyperlink" Target="https://assets.publishing.service.gov.uk/government/uploads/system/uploads/attachment_data/file/413531/Report_summary_-_Supporting_children_with_challenging_behaviour_through_a_nurture_group_approach.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Paul Chell</cp:lastModifiedBy>
  <cp:revision>2</cp:revision>
  <cp:lastPrinted>2022-09-09T12:14:00Z</cp:lastPrinted>
  <dcterms:created xsi:type="dcterms:W3CDTF">2023-12-14T11:20:00Z</dcterms:created>
  <dcterms:modified xsi:type="dcterms:W3CDTF">2023-12-14T11:20:00Z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